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auto" w:space="0" w:sz="0" w:val="none"/>
          <w:bottom w:color="auto" w:space="0" w:sz="0" w:val="none"/>
        </w:pBdr>
        <w:spacing w:after="0" w:before="71" w:line="360" w:lineRule="auto"/>
        <w:ind w:right="-40.866141732282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widowControl w:val="0"/>
        <w:pBdr>
          <w:top w:color="auto" w:space="0" w:sz="0" w:val="none"/>
          <w:bottom w:color="auto" w:space="0" w:sz="0" w:val="none"/>
        </w:pBdr>
        <w:spacing w:after="0" w:before="71" w:line="360" w:lineRule="auto"/>
        <w:ind w:right="-40.866141732282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widowControl w:val="0"/>
        <w:pBdr>
          <w:top w:color="auto" w:space="0" w:sz="0" w:val="none"/>
          <w:bottom w:color="auto" w:space="0" w:sz="0" w:val="none"/>
        </w:pBdr>
        <w:spacing w:after="0" w:before="71" w:line="360" w:lineRule="auto"/>
        <w:ind w:right="-40.8661417322827"/>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AML/CFT POLICY AND PROCEDURES</w:t>
      </w:r>
    </w:p>
    <w:p w:rsidR="00000000" w:rsidDel="00000000" w:rsidP="00000000" w:rsidRDefault="00000000" w:rsidRPr="00000000" w14:paraId="00000004">
      <w:pPr>
        <w:spacing w:after="0" w:line="360" w:lineRule="auto"/>
        <w:ind w:right="-40.866141732282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160" w:line="360" w:lineRule="auto"/>
        <w:ind w:right="-40.866141732282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160" w:line="360" w:lineRule="auto"/>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Anti-Money Laundering and Combating the Financing of Terrorism Policy (“AML/CFT Policy”) has been adopted by us to prevent the use of services for money laundering and terrorist financing activities. We are committed to complying with all applicable laws, regulations, and guidance regarding AML and CFT as defined below.</w:t>
      </w:r>
    </w:p>
    <w:p w:rsidR="00000000" w:rsidDel="00000000" w:rsidP="00000000" w:rsidRDefault="00000000" w:rsidRPr="00000000" w14:paraId="00000007">
      <w:pPr>
        <w:spacing w:after="160" w:line="360" w:lineRule="auto"/>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AML/CFT Policy intends to protect Company from being used as a tool for illegal activities such as money laundering or terrorist financing. AML/CFT Policy sets out specific procedures to achieve this goal, including the implementation of robust client identification process, ongoing Transaction Monitoring to detect Suspicious Activity.</w:t>
      </w:r>
    </w:p>
    <w:p w:rsidR="00000000" w:rsidDel="00000000" w:rsidP="00000000" w:rsidRDefault="00000000" w:rsidRPr="00000000" w14:paraId="00000008">
      <w:pPr>
        <w:spacing w:after="160" w:line="360" w:lineRule="auto"/>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using our services via our Website, crypto exchanges or otherwise, or by using our Website by our customer, he/she/it expressly agrees with AML/CFT Policy.</w:t>
      </w:r>
    </w:p>
    <w:p w:rsidR="00000000" w:rsidDel="00000000" w:rsidP="00000000" w:rsidRDefault="00000000" w:rsidRPr="00000000" w14:paraId="00000009">
      <w:pPr>
        <w:spacing w:after="160" w:line="360" w:lineRule="auto"/>
        <w:ind w:right="-40.8661417322827"/>
        <w:jc w:val="both"/>
        <w:rPr>
          <w:rFonts w:ascii="Times New Roman" w:cs="Times New Roman" w:eastAsia="Times New Roman" w:hAnsi="Times New Roman"/>
          <w:sz w:val="24"/>
          <w:szCs w:val="24"/>
        </w:rPr>
        <w:sectPr>
          <w:headerReference r:id="rId7" w:type="default"/>
          <w:headerReference r:id="rId8" w:type="first"/>
          <w:footerReference r:id="rId9" w:type="default"/>
          <w:footerReference r:id="rId10" w:type="even"/>
          <w:pgSz w:h="16838" w:w="11906" w:orient="portrait"/>
          <w:pgMar w:bottom="1440" w:top="1440" w:left="1440" w:right="1440" w:header="720" w:footer="576"/>
          <w:pgNumType w:start="1"/>
        </w:sectPr>
      </w:pPr>
      <w:r w:rsidDel="00000000" w:rsidR="00000000" w:rsidRPr="00000000">
        <w:rPr>
          <w:rFonts w:ascii="Times New Roman" w:cs="Times New Roman" w:eastAsia="Times New Roman" w:hAnsi="Times New Roman"/>
          <w:sz w:val="24"/>
          <w:szCs w:val="24"/>
          <w:rtl w:val="0"/>
        </w:rPr>
        <w:t xml:space="preserve">SmartAtlas Ltd. S.r.o. (the “Company”) with the registration address 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Na strži 1702/65, Nusle, 140 00 Praha 4, Czech Republic with the website </w:t>
      </w:r>
      <w:hyperlink r:id="rId11">
        <w:r w:rsidDel="00000000" w:rsidR="00000000" w:rsidRPr="00000000">
          <w:rPr>
            <w:rFonts w:ascii="Times New Roman" w:cs="Times New Roman" w:eastAsia="Times New Roman" w:hAnsi="Times New Roman"/>
            <w:sz w:val="24"/>
            <w:szCs w:val="24"/>
            <w:u w:val="single"/>
            <w:rtl w:val="0"/>
          </w:rPr>
          <w:t xml:space="preserve">https://smartatlas.io/</w:t>
        </w:r>
      </w:hyperlink>
      <w:r w:rsidDel="00000000" w:rsidR="00000000" w:rsidRPr="00000000">
        <w:rPr>
          <w:rFonts w:ascii="Times New Roman" w:cs="Times New Roman" w:eastAsia="Times New Roman" w:hAnsi="Times New Roman"/>
          <w:sz w:val="24"/>
          <w:szCs w:val="24"/>
          <w:rtl w:val="0"/>
        </w:rPr>
        <w:t xml:space="preserve"> is committed towards meeting the AML and CTF requirements.</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271"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Objectives. </w:t>
      </w:r>
    </w:p>
    <w:p w:rsidR="00000000" w:rsidDel="00000000" w:rsidP="00000000" w:rsidRDefault="00000000" w:rsidRPr="00000000" w14:paraId="0000000B">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Company’s main objectives establishing AML policy are:</w:t>
      </w:r>
    </w:p>
    <w:p w:rsidR="00000000" w:rsidDel="00000000" w:rsidP="00000000" w:rsidRDefault="00000000" w:rsidRPr="00000000" w14:paraId="0000000C">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Clients’ identities are satisfactorily verified in accordance with the firm’s risk based approach before Website does business with them;</w:t>
      </w:r>
    </w:p>
    <w:p w:rsidR="00000000" w:rsidDel="00000000" w:rsidP="00000000" w:rsidRDefault="00000000" w:rsidRPr="00000000" w14:paraId="0000000D">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knows its clients and understands their reasons for doing business with us both at the client acceptance stage and throughout the business relationship;</w:t>
      </w:r>
    </w:p>
    <w:p w:rsidR="00000000" w:rsidDel="00000000" w:rsidP="00000000" w:rsidRDefault="00000000" w:rsidRPr="00000000" w14:paraId="0000000E">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staff are trained and made aware of both their personal legal obligations and the legal obligations of Website;</w:t>
      </w:r>
    </w:p>
    <w:p w:rsidR="00000000" w:rsidDel="00000000" w:rsidP="00000000" w:rsidRDefault="00000000" w:rsidRPr="00000000" w14:paraId="0000000F">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staff is trained to be vigilant for activities where there are reasonable grounds for suspicion that money laundering could be taking place and to make the reports to the Compliance Officer</w:t>
      </w:r>
    </w:p>
    <w:p w:rsidR="00000000" w:rsidDel="00000000" w:rsidP="00000000" w:rsidRDefault="00000000" w:rsidRPr="00000000" w14:paraId="00000010">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Sufficient records are kept for the required period;</w:t>
      </w:r>
    </w:p>
    <w:p w:rsidR="00000000" w:rsidDel="00000000" w:rsidP="00000000" w:rsidRDefault="00000000" w:rsidRPr="00000000" w14:paraId="00000011">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establish, maintain and implement appropriate procedures to achieve these objectives;</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Definitions </w:t>
      </w:r>
    </w:p>
    <w:p w:rsidR="00000000" w:rsidDel="00000000" w:rsidP="00000000" w:rsidRDefault="00000000" w:rsidRPr="00000000" w14:paraId="00000013">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AML Act - Act No. 253/2008 Coll. on selected measures against legitimisation of proceeds of crime and financing of terrorism as amended</w:t>
      </w:r>
    </w:p>
    <w:p w:rsidR="00000000" w:rsidDel="00000000" w:rsidP="00000000" w:rsidRDefault="00000000" w:rsidRPr="00000000" w14:paraId="00000014">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KYC - Know Your Customer</w:t>
      </w:r>
    </w:p>
    <w:p w:rsidR="00000000" w:rsidDel="00000000" w:rsidP="00000000" w:rsidRDefault="00000000" w:rsidRPr="00000000" w14:paraId="00000015">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MiCA - Regulation (EU) 2023/1114 of the European Parliament and of the Council of 31 May 2023 on markets in crypto-assets</w:t>
      </w:r>
    </w:p>
    <w:p w:rsidR="00000000" w:rsidDel="00000000" w:rsidP="00000000" w:rsidRDefault="00000000" w:rsidRPr="00000000" w14:paraId="00000016">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ML-FT - Money Laundering and Financing of Terrorism</w:t>
      </w:r>
    </w:p>
    <w:p w:rsidR="00000000" w:rsidDel="00000000" w:rsidP="00000000" w:rsidRDefault="00000000" w:rsidRPr="00000000" w14:paraId="00000017">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 or “We” - SmartAtlas Ltd. s.r.o. with its registered office at Chudenická 1059/30, Hostivař, 102 00 Praha 10, Prague, the Czech Republic, company number: 21766401, provides virtual asset services in accordance with Section 2(1)(l) of the AML Act.</w:t>
      </w:r>
    </w:p>
    <w:p w:rsidR="00000000" w:rsidDel="00000000" w:rsidP="00000000" w:rsidRDefault="00000000" w:rsidRPr="00000000" w14:paraId="00000018">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Politically exposed person. A politically exposed person means a natural person who is or has been in a significant public office of national or regional importance, such as, in particular, a head of state, the head of the government, the head of a central government body and his deputy (deputy, secretary of state), a member of parliament, a member of the governing body of a political party, a leader of a local authority, a judge of the supreme court, constitutional court or other supreme judicial body, against whose decision, generally with exceptions, no appeal may be lodged, a member of the board of a central bank, a senior officer of the armed forces or a corps, a member or representative of a member, if a legal entity, of the statutory body of a State-controlled commercial corporation, an ambassador or head of a diplomatic mission, or a natural person who holds or has held a similar office in another State, in a body of the European Union or an international organisation.</w:t>
      </w:r>
    </w:p>
    <w:p w:rsidR="00000000" w:rsidDel="00000000" w:rsidP="00000000" w:rsidRDefault="00000000" w:rsidRPr="00000000" w14:paraId="00000019">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asset:</w:t>
      </w:r>
    </w:p>
    <w:p w:rsidR="00000000" w:rsidDel="00000000" w:rsidP="00000000" w:rsidRDefault="00000000" w:rsidRPr="00000000" w14:paraId="0000001A">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crypto-assets under MiCA and</w:t>
      </w:r>
    </w:p>
    <w:p w:rsidR="00000000" w:rsidDel="00000000" w:rsidP="00000000" w:rsidRDefault="00000000" w:rsidRPr="00000000" w14:paraId="0000001B">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crypto-asset that is unique, not fungible with another crypto-asset and cannot be used for payment or investment.</w:t>
      </w:r>
    </w:p>
    <w:p w:rsidR="00000000" w:rsidDel="00000000" w:rsidP="00000000" w:rsidRDefault="00000000" w:rsidRPr="00000000" w14:paraId="0000001C">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asset services: </w:t>
      </w:r>
    </w:p>
    <w:p w:rsidR="00000000" w:rsidDel="00000000" w:rsidP="00000000" w:rsidRDefault="00000000" w:rsidRPr="00000000" w14:paraId="0000001D">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custody and administration of crypto-assets on behalf of clients;</w:t>
      </w:r>
    </w:p>
    <w:p w:rsidR="00000000" w:rsidDel="00000000" w:rsidP="00000000" w:rsidRDefault="00000000" w:rsidRPr="00000000" w14:paraId="0000001E">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 of a trading platform for crypto-assets;</w:t>
      </w:r>
    </w:p>
    <w:p w:rsidR="00000000" w:rsidDel="00000000" w:rsidP="00000000" w:rsidRDefault="00000000" w:rsidRPr="00000000" w14:paraId="0000001F">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exchange of crypto-assets for funds;</w:t>
      </w:r>
    </w:p>
    <w:p w:rsidR="00000000" w:rsidDel="00000000" w:rsidP="00000000" w:rsidRDefault="00000000" w:rsidRPr="00000000" w14:paraId="00000020">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exchange of crypto-assets for other crypto-assets;</w:t>
      </w:r>
    </w:p>
    <w:p w:rsidR="00000000" w:rsidDel="00000000" w:rsidP="00000000" w:rsidRDefault="00000000" w:rsidRPr="00000000" w14:paraId="00000021">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execution of orders for crypto-assets on behalf of clients;</w:t>
      </w:r>
    </w:p>
    <w:p w:rsidR="00000000" w:rsidDel="00000000" w:rsidP="00000000" w:rsidRDefault="00000000" w:rsidRPr="00000000" w14:paraId="00000022">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placing of crypto-assets;</w:t>
      </w:r>
    </w:p>
    <w:p w:rsidR="00000000" w:rsidDel="00000000" w:rsidP="00000000" w:rsidRDefault="00000000" w:rsidRPr="00000000" w14:paraId="00000023">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reception and transmission of orders for crypto-assets on behalf of clients;</w:t>
      </w:r>
    </w:p>
    <w:p w:rsidR="00000000" w:rsidDel="00000000" w:rsidP="00000000" w:rsidRDefault="00000000" w:rsidRPr="00000000" w14:paraId="00000024">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portfolio management on crypto-assets;</w:t>
      </w:r>
    </w:p>
    <w:p w:rsidR="00000000" w:rsidDel="00000000" w:rsidP="00000000" w:rsidRDefault="00000000" w:rsidRPr="00000000" w14:paraId="00000025">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transfer services for crypto-assets on behalf of clients.</w:t>
      </w:r>
    </w:p>
    <w:p w:rsidR="00000000" w:rsidDel="00000000" w:rsidP="00000000" w:rsidRDefault="00000000" w:rsidRPr="00000000" w14:paraId="00000026">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is required to provide its services under the license issued in accordance with the European Union MiCA, adhering to all requirements related to virtual assets and their operations, while limiting itself to the list of authorized services under the obtained license.</w:t>
      </w:r>
    </w:p>
    <w:p w:rsidR="00000000" w:rsidDel="00000000" w:rsidP="00000000" w:rsidRDefault="00000000" w:rsidRPr="00000000" w14:paraId="00000027">
      <w:pPr>
        <w:widowControl w:val="0"/>
        <w:numPr>
          <w:ilvl w:val="0"/>
          <w:numId w:val="2"/>
        </w:numPr>
        <w:pBdr>
          <w:bottom w:color="auto" w:space="0" w:sz="0" w:val="none"/>
        </w:pBdr>
        <w:tabs>
          <w:tab w:val="left" w:leader="none" w:pos="1148"/>
        </w:tabs>
        <w:spacing w:after="0" w:before="0" w:beforeAutospacing="0"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Principles</w:t>
      </w:r>
    </w:p>
    <w:p w:rsidR="00000000" w:rsidDel="00000000" w:rsidP="00000000" w:rsidRDefault="00000000" w:rsidRPr="00000000" w14:paraId="00000028">
      <w:pPr>
        <w:keepNext w:val="0"/>
        <w:keepLines w:val="0"/>
        <w:pageBreakBefore w:val="0"/>
        <w:widowControl w:val="0"/>
        <w:numPr>
          <w:ilvl w:val="1"/>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implemented policies, procedures and controls designed to prevent criminals from using Website to launder the proceeds of crime. These policies and procedures are tailored to the risk posed to individual customers.</w:t>
      </w:r>
    </w:p>
    <w:p w:rsidR="00000000" w:rsidDel="00000000" w:rsidP="00000000" w:rsidRDefault="00000000" w:rsidRPr="00000000" w14:paraId="00000029">
      <w:pPr>
        <w:keepNext w:val="0"/>
        <w:keepLines w:val="0"/>
        <w:pageBreakBefore w:val="0"/>
        <w:widowControl w:val="0"/>
        <w:numPr>
          <w:ilvl w:val="1"/>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has established customer due diligence procedures to identify the users of its services and, in respect of higher risk customers, the primary beneficial owners and origin of funds. These procedures include knowledge of the nature of our customers' business and vigilance for anomalous transactions.</w:t>
      </w:r>
    </w:p>
    <w:p w:rsidR="00000000" w:rsidDel="00000000" w:rsidP="00000000" w:rsidRDefault="00000000" w:rsidRPr="00000000" w14:paraId="0000002A">
      <w:pPr>
        <w:keepNext w:val="0"/>
        <w:keepLines w:val="0"/>
        <w:pageBreakBefore w:val="0"/>
        <w:widowControl w:val="0"/>
        <w:numPr>
          <w:ilvl w:val="1"/>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1440" w:right="1147.204724409448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initial customer identification and due diligence are activities designed to fulfil the KYC principle. Based on an adequately conducted CDD, the Company understands the ML-FT risk its customers pose. </w:t>
      </w:r>
    </w:p>
    <w:p w:rsidR="00000000" w:rsidDel="00000000" w:rsidP="00000000" w:rsidRDefault="00000000" w:rsidRPr="00000000" w14:paraId="0000002B">
      <w:pPr>
        <w:keepNext w:val="0"/>
        <w:keepLines w:val="0"/>
        <w:pageBreakBefore w:val="0"/>
        <w:widowControl w:val="0"/>
        <w:numPr>
          <w:ilvl w:val="1"/>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1440" w:right="1147.204724409448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Customer identification. Full name and contact information: verification of the customer's identity through reliable documents.</w:t>
      </w:r>
    </w:p>
    <w:p w:rsidR="00000000" w:rsidDel="00000000" w:rsidP="00000000" w:rsidRDefault="00000000" w:rsidRPr="00000000" w14:paraId="0000002C">
      <w:pPr>
        <w:keepNext w:val="0"/>
        <w:keepLines w:val="0"/>
        <w:pageBreakBefore w:val="0"/>
        <w:widowControl w:val="0"/>
        <w:numPr>
          <w:ilvl w:val="1"/>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assessment</w:t>
      </w:r>
    </w:p>
    <w:p w:rsidR="00000000" w:rsidDel="00000000" w:rsidP="00000000" w:rsidRDefault="00000000" w:rsidRPr="00000000" w14:paraId="0000002D">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of origin: assessing the inherent risk associated with the customer's country of origin, including whether it is classified as a high-risk jurisdiction.</w:t>
      </w:r>
    </w:p>
    <w:p w:rsidR="00000000" w:rsidDel="00000000" w:rsidP="00000000" w:rsidRDefault="00000000" w:rsidRPr="00000000" w14:paraId="0000002E">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Politically Exposed Persons (PEPs): determining if the customer is a PEP and, if so, investigating their wealth source.</w:t>
      </w:r>
    </w:p>
    <w:p w:rsidR="00000000" w:rsidDel="00000000" w:rsidP="00000000" w:rsidRDefault="00000000" w:rsidRPr="00000000" w14:paraId="0000002F">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Sanctions compliance: confirming that the customer is not subject to any international sanctions.</w:t>
      </w:r>
    </w:p>
    <w:p w:rsidR="00000000" w:rsidDel="00000000" w:rsidP="00000000" w:rsidRDefault="00000000" w:rsidRPr="00000000" w14:paraId="00000030">
      <w:pPr>
        <w:keepNext w:val="0"/>
        <w:keepLines w:val="0"/>
        <w:pageBreakBefore w:val="0"/>
        <w:widowControl w:val="0"/>
        <w:numPr>
          <w:ilvl w:val="1"/>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Ownership and Control Structure:</w:t>
      </w:r>
    </w:p>
    <w:p w:rsidR="00000000" w:rsidDel="00000000" w:rsidP="00000000" w:rsidRDefault="00000000" w:rsidRPr="00000000" w14:paraId="00000031">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Structure: outlining the customer's ownership and control structure, identifying key individuals and entities involved.</w:t>
      </w:r>
    </w:p>
    <w:p w:rsidR="00000000" w:rsidDel="00000000" w:rsidP="00000000" w:rsidRDefault="00000000" w:rsidRPr="00000000" w14:paraId="00000032">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Beneficial ownership: identification of the ultimate beneficial owner(s) of the customer and verifies their identity and PEP status.</w:t>
      </w:r>
    </w:p>
    <w:p w:rsidR="00000000" w:rsidDel="00000000" w:rsidP="00000000" w:rsidRDefault="00000000" w:rsidRPr="00000000" w14:paraId="00000033">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Sanctions screening: checking if any individuals within the customer's ownership or control structure are subject to Czech sanctions.</w:t>
      </w:r>
    </w:p>
    <w:p w:rsidR="00000000" w:rsidDel="00000000" w:rsidP="00000000" w:rsidRDefault="00000000" w:rsidRPr="00000000" w14:paraId="00000034">
      <w:pPr>
        <w:keepNext w:val="0"/>
        <w:keepLines w:val="0"/>
        <w:pageBreakBefore w:val="0"/>
        <w:widowControl w:val="0"/>
        <w:numPr>
          <w:ilvl w:val="1"/>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purpose and source of funds</w:t>
      </w:r>
    </w:p>
    <w:p w:rsidR="00000000" w:rsidDel="00000000" w:rsidP="00000000" w:rsidRDefault="00000000" w:rsidRPr="00000000" w14:paraId="00000035">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Reason for engaging with the Company: the customer's intended purpose for using virtual asset services is clearly understood.</w:t>
      </w:r>
    </w:p>
    <w:p w:rsidR="00000000" w:rsidDel="00000000" w:rsidP="00000000" w:rsidRDefault="00000000" w:rsidRPr="00000000" w14:paraId="00000036">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of funds: verifying the legitimate source of funds involved in any potential transactions or business relationships.</w:t>
      </w:r>
    </w:p>
    <w:p w:rsidR="00000000" w:rsidDel="00000000" w:rsidP="00000000" w:rsidRDefault="00000000" w:rsidRPr="00000000" w14:paraId="00000037">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 profile: outlining the anticipated volume, nature, and geographical scope of transactions with the customer.</w:t>
      </w:r>
    </w:p>
    <w:p w:rsidR="00000000" w:rsidDel="00000000" w:rsidP="00000000" w:rsidRDefault="00000000" w:rsidRPr="00000000" w14:paraId="00000038">
      <w:pPr>
        <w:keepNext w:val="0"/>
        <w:keepLines w:val="0"/>
        <w:pageBreakBefore w:val="0"/>
        <w:widowControl w:val="0"/>
        <w:numPr>
          <w:ilvl w:val="1"/>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background</w:t>
      </w:r>
    </w:p>
    <w:p w:rsidR="00000000" w:rsidDel="00000000" w:rsidP="00000000" w:rsidRDefault="00000000" w:rsidRPr="00000000" w14:paraId="00000039">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activities and income: gathering information about the customer's business activities, income sources, and geographical reach.</w:t>
      </w:r>
    </w:p>
    <w:p w:rsidR="00000000" w:rsidDel="00000000" w:rsidP="00000000" w:rsidRDefault="00000000" w:rsidRPr="00000000" w14:paraId="0000003A">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Existing relationship with the Company: if applicable, the Company reviews the customer's past transactions and business relationship with the Company.</w:t>
      </w:r>
    </w:p>
    <w:p w:rsidR="00000000" w:rsidDel="00000000" w:rsidP="00000000" w:rsidRDefault="00000000" w:rsidRPr="00000000" w14:paraId="0000003B">
      <w:pPr>
        <w:keepNext w:val="0"/>
        <w:keepLines w:val="0"/>
        <w:pageBreakBefore w:val="0"/>
        <w:widowControl w:val="0"/>
        <w:numPr>
          <w:ilvl w:val="1"/>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Verification and credibility</w:t>
      </w:r>
    </w:p>
    <w:p w:rsidR="00000000" w:rsidDel="00000000" w:rsidP="00000000" w:rsidRDefault="00000000" w:rsidRPr="00000000" w14:paraId="0000003C">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sources: information is collected from the customer and other reliable sources, such as public registries and official documents.</w:t>
      </w:r>
    </w:p>
    <w:p w:rsidR="00000000" w:rsidDel="00000000" w:rsidP="00000000" w:rsidRDefault="00000000" w:rsidRPr="00000000" w14:paraId="0000003D">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Risk-based due diligence: the level of due diligence required for each piece of information is proportional to the assessed risk of the customer and transaction.</w:t>
      </w:r>
    </w:p>
    <w:p w:rsidR="00000000" w:rsidDel="00000000" w:rsidP="00000000" w:rsidRDefault="00000000" w:rsidRPr="00000000" w14:paraId="0000003E">
      <w:pPr>
        <w:keepNext w:val="0"/>
        <w:keepLines w:val="0"/>
        <w:pageBreakBefore w:val="0"/>
        <w:widowControl w:val="0"/>
        <w:numPr>
          <w:ilvl w:val="2"/>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credibility: multiple independent sources are used to corroborate information, especially when relying on less credible sources like affidavits.</w:t>
      </w:r>
    </w:p>
    <w:p w:rsidR="00000000" w:rsidDel="00000000" w:rsidP="00000000" w:rsidRDefault="00000000" w:rsidRPr="00000000" w14:paraId="0000003F">
      <w:pPr>
        <w:keepNext w:val="0"/>
        <w:keepLines w:val="0"/>
        <w:pageBreakBefore w:val="0"/>
        <w:widowControl w:val="0"/>
        <w:numPr>
          <w:ilvl w:val="1"/>
          <w:numId w:val="2"/>
        </w:numPr>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1440" w:right="1147.204724409448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list represents a general overview of KYC requirements and may not be exhaustive. Specific requirements may vary depending on the individual customer and the nature of the proposed transaction or business relationship.</w:t>
      </w:r>
    </w:p>
    <w:p w:rsidR="00000000" w:rsidDel="00000000" w:rsidP="00000000" w:rsidRDefault="00000000" w:rsidRPr="00000000" w14:paraId="00000040">
      <w:pPr>
        <w:keepNext w:val="0"/>
        <w:keepLines w:val="0"/>
        <w:pageBreakBefore w:val="0"/>
        <w:widowControl w:val="0"/>
        <w:pBdr>
          <w:top w:color="auto" w:space="0" w:sz="0" w:val="none"/>
          <w:left w:space="0" w:sz="0" w:val="nil"/>
          <w:bottom w:color="auto" w:space="0" w:sz="0" w:val="none"/>
          <w:right w:color="auto" w:space="0" w:sz="0" w:val="none"/>
          <w:between w:color="auto" w:space="0" w:sz="0" w:val="none"/>
        </w:pBdr>
        <w:shd w:fill="auto" w:val="clear"/>
        <w:tabs>
          <w:tab w:val="left" w:leader="none" w:pos="1148"/>
        </w:tabs>
        <w:spacing w:after="0" w:before="0" w:line="360" w:lineRule="auto"/>
        <w:ind w:left="0" w:right="1147.204724409448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numPr>
          <w:ilvl w:val="0"/>
          <w:numId w:val="2"/>
        </w:numPr>
        <w:pBdr>
          <w:top w:color="auto" w:space="0" w:sz="0" w:val="none"/>
          <w:bottom w:color="auto" w:space="0" w:sz="0" w:val="none"/>
        </w:pBdr>
        <w:tabs>
          <w:tab w:val="left" w:leader="none" w:pos="1435"/>
        </w:tabs>
        <w:spacing w:after="0" w:before="285"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factors</w:t>
      </w:r>
    </w:p>
    <w:p w:rsidR="00000000" w:rsidDel="00000000" w:rsidP="00000000" w:rsidRDefault="00000000" w:rsidRPr="00000000" w14:paraId="00000042">
      <w:pPr>
        <w:widowControl w:val="0"/>
        <w:spacing w:after="0" w:before="242" w:line="360" w:lineRule="auto"/>
        <w:ind w:left="732" w:right="1147.20472440944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risk factor is any characteristic of the customer, the virtual asset services provided to them, or how services are provided, increasing the likelihood of virtual asset services being misused for money laundering and terrorist financing.</w:t>
      </w:r>
    </w:p>
    <w:p w:rsidR="00000000" w:rsidDel="00000000" w:rsidP="00000000" w:rsidRDefault="00000000" w:rsidRPr="00000000" w14:paraId="00000043">
      <w:pPr>
        <w:widowControl w:val="0"/>
        <w:numPr>
          <w:ilvl w:val="0"/>
          <w:numId w:val="2"/>
        </w:numPr>
        <w:pBdr>
          <w:top w:color="auto" w:space="0" w:sz="0" w:val="none"/>
          <w:bottom w:color="auto" w:space="0" w:sz="0" w:val="none"/>
        </w:pBdr>
        <w:tabs>
          <w:tab w:val="left" w:leader="none" w:pos="1435"/>
        </w:tabs>
        <w:spacing w:after="0" w:before="200"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Categorisation of the customer risk profile</w:t>
      </w:r>
    </w:p>
    <w:p w:rsidR="00000000" w:rsidDel="00000000" w:rsidP="00000000" w:rsidRDefault="00000000" w:rsidRPr="00000000" w14:paraId="00000044">
      <w:pPr>
        <w:widowControl w:val="0"/>
        <w:spacing w:after="0" w:before="241" w:line="360" w:lineRule="auto"/>
        <w:ind w:left="732" w:right="1147.20472440944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 risk profile is a customer assessment that represents the potential risk that the customer may misuse virtual asset services for ML-FT purposes. As part of the risk profile, customers are classified into the following groups according to the risk factors they have experienced:</w:t>
      </w:r>
    </w:p>
    <w:p w:rsidR="00000000" w:rsidDel="00000000" w:rsidP="00000000" w:rsidRDefault="00000000" w:rsidRPr="00000000" w14:paraId="00000045">
      <w:pPr>
        <w:widowControl w:val="0"/>
        <w:numPr>
          <w:ilvl w:val="1"/>
          <w:numId w:val="2"/>
        </w:numPr>
        <w:tabs>
          <w:tab w:val="left" w:leader="none" w:pos="1450"/>
          <w:tab w:val="left" w:leader="none" w:pos="1452"/>
        </w:tabs>
        <w:spacing w:after="0" w:before="12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with “Low risk” profile - i.e. the customer poses a low risk: no risk factors have been identified concerning the customer, or factors that pose negligible risk about the identified risk factors and can be tolerated.</w:t>
      </w:r>
    </w:p>
    <w:p w:rsidR="00000000" w:rsidDel="00000000" w:rsidP="00000000" w:rsidRDefault="00000000" w:rsidRPr="00000000" w14:paraId="00000046">
      <w:pPr>
        <w:widowControl w:val="0"/>
        <w:numPr>
          <w:ilvl w:val="1"/>
          <w:numId w:val="2"/>
        </w:numPr>
        <w:tabs>
          <w:tab w:val="left" w:leader="none" w:pos="1450"/>
          <w:tab w:val="left" w:leader="none" w:pos="1452"/>
        </w:tabs>
        <w:spacing w:after="0" w:before="98"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with “Medium risk” profile - i.e. the customer poses a medium risk: risk factors have been identified to the customer, which is general, but these factors cannot be tolerated; therefore, the customer cannot be unambiguously classified as category "Low risk", but, on the other hand, the customer cannot be considered high risk either.</w:t>
      </w:r>
    </w:p>
    <w:p w:rsidR="00000000" w:rsidDel="00000000" w:rsidP="00000000" w:rsidRDefault="00000000" w:rsidRPr="00000000" w14:paraId="00000047">
      <w:pPr>
        <w:widowControl w:val="0"/>
        <w:numPr>
          <w:ilvl w:val="1"/>
          <w:numId w:val="2"/>
        </w:numPr>
        <w:tabs>
          <w:tab w:val="left" w:leader="none" w:pos="1449"/>
          <w:tab w:val="left" w:leader="none" w:pos="1452"/>
        </w:tabs>
        <w:spacing w:after="0" w:before="6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with a “High risk” profile - i.e. the customer poses a high risk: risk factors have been identified to the customer that pose a higher risk and require enhanced measures to eliminate these risks;</w:t>
      </w:r>
    </w:p>
    <w:p w:rsidR="00000000" w:rsidDel="00000000" w:rsidP="00000000" w:rsidRDefault="00000000" w:rsidRPr="00000000" w14:paraId="00000048">
      <w:pPr>
        <w:widowControl w:val="0"/>
        <w:numPr>
          <w:ilvl w:val="1"/>
          <w:numId w:val="2"/>
        </w:numPr>
        <w:tabs>
          <w:tab w:val="left" w:leader="none" w:pos="1450"/>
          <w:tab w:val="left" w:leader="none" w:pos="1452"/>
        </w:tabs>
        <w:spacing w:after="0" w:before="6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with “Reject risk” profile - i.e. an unacceptable customer: risk factors have been identified to the customer that represents an extremely high risk, and such customer will not be provided with virtual asset services or, if applicable, services will be terminated. Such Reject risk profile is assigned to customers who have any risk factor that requires EDD and the customer has not provided sufficient information and documentation to address the identified risk factors or red flags, as well as when, for example:</w:t>
      </w:r>
    </w:p>
    <w:p w:rsidR="00000000" w:rsidDel="00000000" w:rsidP="00000000" w:rsidRDefault="00000000" w:rsidRPr="00000000" w14:paraId="00000049">
      <w:pPr>
        <w:widowControl w:val="0"/>
        <w:numPr>
          <w:ilvl w:val="2"/>
          <w:numId w:val="2"/>
        </w:numPr>
        <w:tabs>
          <w:tab w:val="left" w:leader="none" w:pos="2003"/>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customer's country(ies) of origin is(are) categorised as "blacklist" according to Annexe No. 5 of the </w:t>
      </w:r>
      <w:r w:rsidDel="00000000" w:rsidR="00000000" w:rsidRPr="00000000">
        <w:rPr>
          <w:rFonts w:ascii="Times New Roman" w:cs="Times New Roman" w:eastAsia="Times New Roman" w:hAnsi="Times New Roman"/>
          <w:i w:val="1"/>
          <w:sz w:val="24"/>
          <w:szCs w:val="24"/>
          <w:rtl w:val="0"/>
        </w:rPr>
        <w:t xml:space="preserve">Know Your Customer (KYC) and Customer Due Diligence (CDD) Procedures </w:t>
      </w:r>
      <w:r w:rsidDel="00000000" w:rsidR="00000000" w:rsidRPr="00000000">
        <w:rPr>
          <w:rFonts w:ascii="Times New Roman" w:cs="Times New Roman" w:eastAsia="Times New Roman" w:hAnsi="Times New Roman"/>
          <w:sz w:val="24"/>
          <w:szCs w:val="24"/>
          <w:rtl w:val="0"/>
        </w:rPr>
        <w:t xml:space="preserve">document;</w:t>
      </w:r>
    </w:p>
    <w:p w:rsidR="00000000" w:rsidDel="00000000" w:rsidP="00000000" w:rsidRDefault="00000000" w:rsidRPr="00000000" w14:paraId="0000004A">
      <w:pPr>
        <w:widowControl w:val="0"/>
        <w:numPr>
          <w:ilvl w:val="2"/>
          <w:numId w:val="2"/>
        </w:numPr>
        <w:tabs>
          <w:tab w:val="left" w:leader="none" w:pos="2002"/>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customer's activity is categorised as "rejected" according to Annexe No. 6 of the </w:t>
      </w:r>
      <w:r w:rsidDel="00000000" w:rsidR="00000000" w:rsidRPr="00000000">
        <w:rPr>
          <w:rFonts w:ascii="Times New Roman" w:cs="Times New Roman" w:eastAsia="Times New Roman" w:hAnsi="Times New Roman"/>
          <w:i w:val="1"/>
          <w:sz w:val="24"/>
          <w:szCs w:val="24"/>
          <w:rtl w:val="0"/>
        </w:rPr>
        <w:t xml:space="preserve">Know Your Customer (KYC) and Customer Due Diligence (CDD) Procedures </w:t>
      </w:r>
      <w:r w:rsidDel="00000000" w:rsidR="00000000" w:rsidRPr="00000000">
        <w:rPr>
          <w:rFonts w:ascii="Times New Roman" w:cs="Times New Roman" w:eastAsia="Times New Roman" w:hAnsi="Times New Roman"/>
          <w:sz w:val="24"/>
          <w:szCs w:val="24"/>
          <w:rtl w:val="0"/>
        </w:rPr>
        <w:t xml:space="preserve">document;</w:t>
      </w:r>
    </w:p>
    <w:p w:rsidR="00000000" w:rsidDel="00000000" w:rsidP="00000000" w:rsidRDefault="00000000" w:rsidRPr="00000000" w14:paraId="0000004B">
      <w:pPr>
        <w:widowControl w:val="0"/>
        <w:numPr>
          <w:ilvl w:val="2"/>
          <w:numId w:val="2"/>
        </w:numPr>
        <w:tabs>
          <w:tab w:val="left" w:leader="none" w:pos="2002"/>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identification or CDD has been performed against the customer;</w:t>
      </w:r>
    </w:p>
    <w:p w:rsidR="00000000" w:rsidDel="00000000" w:rsidP="00000000" w:rsidRDefault="00000000" w:rsidRPr="00000000" w14:paraId="0000004C">
      <w:pPr>
        <w:widowControl w:val="0"/>
        <w:numPr>
          <w:ilvl w:val="2"/>
          <w:numId w:val="2"/>
        </w:numPr>
        <w:tabs>
          <w:tab w:val="left" w:leader="none" w:pos="2002"/>
          <w:tab w:val="left" w:leader="none" w:pos="2007"/>
        </w:tabs>
        <w:spacing w:after="0" w:before="98"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reasonable suspicion arises that the purpose of the transaction or business relationship is to provide virtual asset services to a person other than himself (i.e. the customer is merely acting as an intermediary or identity provider, a so-called "nominal person") and the customer does not refute this suspicion;</w:t>
      </w:r>
    </w:p>
    <w:p w:rsidR="00000000" w:rsidDel="00000000" w:rsidP="00000000" w:rsidRDefault="00000000" w:rsidRPr="00000000" w14:paraId="0000004D">
      <w:pPr>
        <w:widowControl w:val="0"/>
        <w:numPr>
          <w:ilvl w:val="2"/>
          <w:numId w:val="2"/>
        </w:numPr>
        <w:tabs>
          <w:tab w:val="left" w:leader="none" w:pos="2003"/>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 a person in the control or ownership structure (member of the statutory body, beneficial owner, etc.), or an authorised representative is a person against whom the CR applies international sanctions, and permission from the FAU and the Governing Body has not been obtained;</w:t>
      </w:r>
    </w:p>
    <w:p w:rsidR="00000000" w:rsidDel="00000000" w:rsidP="00000000" w:rsidRDefault="00000000" w:rsidRPr="00000000" w14:paraId="0000004E">
      <w:pPr>
        <w:widowControl w:val="0"/>
        <w:numPr>
          <w:ilvl w:val="2"/>
          <w:numId w:val="2"/>
        </w:numPr>
        <w:tabs>
          <w:tab w:val="left" w:leader="none" w:pos="2002"/>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customer's or beneficial owner's source of funds or source of wealth is suspicious;</w:t>
      </w:r>
    </w:p>
    <w:p w:rsidR="00000000" w:rsidDel="00000000" w:rsidP="00000000" w:rsidRDefault="00000000" w:rsidRPr="00000000" w14:paraId="0000004F">
      <w:pPr>
        <w:widowControl w:val="0"/>
        <w:numPr>
          <w:ilvl w:val="2"/>
          <w:numId w:val="2"/>
        </w:numPr>
        <w:tabs>
          <w:tab w:val="left" w:leader="none" w:pos="2001"/>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provided by the customer about him/herself and his/her activities is grossly inconsistent with the facts established from reliable sources, and the customer has not justified the inconsistency;</w:t>
      </w:r>
    </w:p>
    <w:p w:rsidR="00000000" w:rsidDel="00000000" w:rsidP="00000000" w:rsidRDefault="00000000" w:rsidRPr="00000000" w14:paraId="00000050">
      <w:pPr>
        <w:widowControl w:val="0"/>
        <w:numPr>
          <w:ilvl w:val="2"/>
          <w:numId w:val="2"/>
        </w:numPr>
        <w:tabs>
          <w:tab w:val="left" w:leader="none" w:pos="2001"/>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reasonable suspicion that the customer provides false, distorted or incomplete information or submits false or altered documents during the business relationship;</w:t>
      </w:r>
    </w:p>
    <w:p w:rsidR="00000000" w:rsidDel="00000000" w:rsidP="00000000" w:rsidRDefault="00000000" w:rsidRPr="00000000" w14:paraId="00000051">
      <w:pPr>
        <w:widowControl w:val="0"/>
        <w:numPr>
          <w:ilvl w:val="2"/>
          <w:numId w:val="2"/>
        </w:numPr>
        <w:tabs>
          <w:tab w:val="left" w:leader="none" w:pos="2002"/>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transaction or business relationship with this customer has already been terminated in the past at the Company's initiative, and the customer is making repeated attempts to re-establish it and the factors that caused the refusal to provide the service have not been eliminated;</w:t>
      </w:r>
    </w:p>
    <w:p w:rsidR="00000000" w:rsidDel="00000000" w:rsidP="00000000" w:rsidRDefault="00000000" w:rsidRPr="00000000" w14:paraId="00000052">
      <w:pPr>
        <w:widowControl w:val="0"/>
        <w:numPr>
          <w:ilvl w:val="2"/>
          <w:numId w:val="2"/>
        </w:numPr>
        <w:tabs>
          <w:tab w:val="left" w:leader="none" w:pos="2003"/>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 a person in the control or ownership structure (member of the statutory body, beneficial owner, etc.) is connected to another customer with whom the transaction or business relationship has been terminated in the past on the Company's initiative;</w:t>
      </w:r>
    </w:p>
    <w:p w:rsidR="00000000" w:rsidDel="00000000" w:rsidP="00000000" w:rsidRDefault="00000000" w:rsidRPr="00000000" w14:paraId="00000053">
      <w:pPr>
        <w:widowControl w:val="0"/>
        <w:numPr>
          <w:ilvl w:val="2"/>
          <w:numId w:val="2"/>
        </w:numPr>
        <w:tabs>
          <w:tab w:val="left" w:leader="none" w:pos="2002"/>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 otherwise poses a significant risk to the company from the perspective of ML-FT;</w:t>
      </w:r>
    </w:p>
    <w:p w:rsidR="00000000" w:rsidDel="00000000" w:rsidP="00000000" w:rsidRDefault="00000000" w:rsidRPr="00000000" w14:paraId="00000054">
      <w:pPr>
        <w:widowControl w:val="0"/>
        <w:numPr>
          <w:ilvl w:val="2"/>
          <w:numId w:val="2"/>
        </w:numPr>
        <w:tabs>
          <w:tab w:val="left" w:leader="none" w:pos="2001"/>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of the factors listed above if it occurs in a legal entity in which the customer has a direct or indirect interest or is otherwise in a position to exercise influence.</w:t>
      </w:r>
    </w:p>
    <w:p w:rsidR="00000000" w:rsidDel="00000000" w:rsidP="00000000" w:rsidRDefault="00000000" w:rsidRPr="00000000" w14:paraId="00000055">
      <w:pPr>
        <w:widowControl w:val="0"/>
        <w:spacing w:after="0" w:before="120" w:line="360" w:lineRule="auto"/>
        <w:ind w:left="732" w:right="1147.204724409448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Сompany has developed a system for assessing the risks of the customer and the virtual asset services provided to determine the customer risk profile using the Risk Assessment questionnaire.</w:t>
      </w:r>
    </w:p>
    <w:p w:rsidR="00000000" w:rsidDel="00000000" w:rsidP="00000000" w:rsidRDefault="00000000" w:rsidRPr="00000000" w14:paraId="00000056">
      <w:pPr>
        <w:widowControl w:val="0"/>
        <w:numPr>
          <w:ilvl w:val="0"/>
          <w:numId w:val="2"/>
        </w:numPr>
        <w:pBdr>
          <w:top w:color="auto" w:space="0" w:sz="0" w:val="none"/>
          <w:bottom w:color="auto" w:space="0" w:sz="0" w:val="none"/>
        </w:pBdr>
        <w:tabs>
          <w:tab w:val="left" w:leader="none" w:pos="1435"/>
        </w:tabs>
        <w:spacing w:after="0" w:before="200"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determination of customer risk profile</w:t>
      </w:r>
    </w:p>
    <w:p w:rsidR="00000000" w:rsidDel="00000000" w:rsidP="00000000" w:rsidRDefault="00000000" w:rsidRPr="00000000" w14:paraId="0000005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50"/>
          <w:tab w:val="left" w:leader="none" w:pos="1452"/>
        </w:tabs>
        <w:spacing w:after="0" w:before="98"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and increase of identification and due diligence measures to be applied to a customer during onboarding are determined based on the customer's primary risk profile. In the course of obtaining or confirming information, screening for PEPs and sanctions, and as a result of other measures, the customer's risk profile may change. However, even initial measures should be based on the specific risk factors identified for the customer to apply the risk-based approach correctly.</w:t>
      </w:r>
    </w:p>
    <w:p w:rsidR="00000000" w:rsidDel="00000000" w:rsidP="00000000" w:rsidRDefault="00000000" w:rsidRPr="00000000" w14:paraId="0000005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50"/>
          <w:tab w:val="left" w:leader="none" w:pos="1452"/>
        </w:tabs>
        <w:spacing w:after="0" w:before="98"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these purposes, the company has identified the factors by which the customer's risk tolerance is initially assessed, namely, the customer's country of origin, activity, and planned turnover.</w:t>
      </w:r>
    </w:p>
    <w:p w:rsidR="00000000" w:rsidDel="00000000" w:rsidP="00000000" w:rsidRDefault="00000000" w:rsidRPr="00000000" w14:paraId="0000005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50"/>
          <w:tab w:val="left" w:leader="none" w:pos="1452"/>
        </w:tabs>
        <w:spacing w:after="0" w:before="98"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qualities of these factors correlate with customer categorisation as follows:</w:t>
      </w:r>
    </w:p>
    <w:p w:rsidR="00000000" w:rsidDel="00000000" w:rsidP="00000000" w:rsidRDefault="00000000" w:rsidRPr="00000000" w14:paraId="0000005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001"/>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is categorised to the “Low risk” profile if meets one of the characteristic options:</w:t>
      </w:r>
    </w:p>
    <w:p w:rsidR="00000000" w:rsidDel="00000000" w:rsidP="00000000" w:rsidRDefault="00000000" w:rsidRPr="00000000" w14:paraId="0000005B">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2001"/>
          <w:tab w:val="left" w:leader="none" w:pos="2007"/>
        </w:tabs>
        <w:spacing w:after="0" w:before="60" w:line="360" w:lineRule="auto"/>
        <w:ind w:left="288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 has the following characteristics: the customer's country(ies) of origin is(are) categorised as "Low risk" and the customer's activity is categorised as "Low risk" and the customer's planned turnover does not exceed EUR 5 000 per month for natural persons, for legal persons EUR 15 000 per month.</w:t>
      </w:r>
    </w:p>
    <w:p w:rsidR="00000000" w:rsidDel="00000000" w:rsidP="00000000" w:rsidRDefault="00000000" w:rsidRPr="00000000" w14:paraId="0000005C">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2001"/>
          <w:tab w:val="left" w:leader="none" w:pos="2007"/>
        </w:tabs>
        <w:spacing w:after="0" w:before="60" w:line="360" w:lineRule="auto"/>
        <w:ind w:left="288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 has the following characteristics: the customer's country(ies) of origin is(are) categorised as "Low risk" and the customer's activity is categorised as "Medium risk" and the customer's planned turnover does not exceed EUR 5 000 per month for natural persons, for legal persons EUR 15 000 per month  </w:t>
      </w:r>
    </w:p>
    <w:p w:rsidR="00000000" w:rsidDel="00000000" w:rsidP="00000000" w:rsidRDefault="00000000" w:rsidRPr="00000000" w14:paraId="0000005D">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2001"/>
          <w:tab w:val="left" w:leader="none" w:pos="2007"/>
        </w:tabs>
        <w:spacing w:after="0" w:before="60" w:line="360" w:lineRule="auto"/>
        <w:ind w:left="288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 has the following characteristics: the customer's country(ies) of origin is(are) categorised as "Medium risk" and the customer's activity is categorised as "Low risk" and the customer's planned turnover does not exceed EUR 5 000 per month for natural persons, for legal persons EUR 15 000 per month there are no known factors under which it is necessary to take EDD measures concerning the customer.</w:t>
      </w:r>
    </w:p>
    <w:p w:rsidR="00000000" w:rsidDel="00000000" w:rsidP="00000000" w:rsidRDefault="00000000" w:rsidRPr="00000000" w14:paraId="0000005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001"/>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is categorised to the “Medium risk” profile if meets one of the characteristic:</w:t>
      </w:r>
    </w:p>
    <w:p w:rsidR="00000000" w:rsidDel="00000000" w:rsidP="00000000" w:rsidRDefault="00000000" w:rsidRPr="00000000" w14:paraId="0000005F">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2001"/>
          <w:tab w:val="left" w:leader="none" w:pos="2007"/>
        </w:tabs>
        <w:spacing w:after="0" w:before="60" w:line="360" w:lineRule="auto"/>
        <w:ind w:left="288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 has the following characteristics: the customer's country(ies) of origin is(are) categorised as "Low risk" or "Medium risk" and the customer's activity is categorised as "Low risk" or "Medium risk" and the customer's planned turnover does not exceed EUR 15 000 per month per month for natural persons, for legal persons EUR 25 000 per month.</w:t>
      </w:r>
    </w:p>
    <w:p w:rsidR="00000000" w:rsidDel="00000000" w:rsidP="00000000" w:rsidRDefault="00000000" w:rsidRPr="00000000" w14:paraId="00000060">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2001"/>
          <w:tab w:val="left" w:leader="none" w:pos="2007"/>
        </w:tabs>
        <w:spacing w:after="0" w:before="60" w:line="360" w:lineRule="auto"/>
        <w:ind w:left="288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 has the following characteristics: the customer's country(ies) of origin is(are) categorised as "Medium risk" and the customer's activity is categorised as "Medium risk" and the customer's planned turnover does not exceed EUR 5 000 per month for natural persons, for legal persons EUR 15 000 per month and</w:t>
      </w:r>
    </w:p>
    <w:p w:rsidR="00000000" w:rsidDel="00000000" w:rsidP="00000000" w:rsidRDefault="00000000" w:rsidRPr="00000000" w14:paraId="00000061">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2001"/>
          <w:tab w:val="left" w:leader="none" w:pos="2007"/>
        </w:tabs>
        <w:spacing w:after="0" w:before="60" w:line="360" w:lineRule="auto"/>
        <w:ind w:left="288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no known factors under which it is necessary to take EDD measures concerning the customer.</w:t>
      </w:r>
    </w:p>
    <w:p w:rsidR="00000000" w:rsidDel="00000000" w:rsidP="00000000" w:rsidRDefault="00000000" w:rsidRPr="00000000" w14:paraId="0000006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001"/>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is categorised to the “High risk” profile if meets one of the characteristic: the customer's country(ies) of origin is(are) categorised as "high risk", or the customer's activity is categorised as "High risk" or the customer's planned turnover exceeds: EUR 100 000 per month and the customer is a natural person, or EUR 250 000 per month and the customer is a legal entity.</w:t>
      </w:r>
    </w:p>
    <w:p w:rsidR="00000000" w:rsidDel="00000000" w:rsidP="00000000" w:rsidRDefault="00000000" w:rsidRPr="00000000" w14:paraId="0000006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001"/>
          <w:tab w:val="left" w:leader="none" w:pos="2007"/>
        </w:tabs>
        <w:spacing w:after="0" w:before="6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is categorised to the "Reject" risk profile if:</w:t>
      </w:r>
    </w:p>
    <w:p w:rsidR="00000000" w:rsidDel="00000000" w:rsidP="00000000" w:rsidRDefault="00000000" w:rsidRPr="00000000" w14:paraId="00000064">
      <w:pPr>
        <w:widowControl w:val="0"/>
        <w:numPr>
          <w:ilvl w:val="1"/>
          <w:numId w:val="1"/>
        </w:numPr>
        <w:tabs>
          <w:tab w:val="left" w:leader="none" w:pos="2170"/>
          <w:tab w:val="left" w:leader="none" w:pos="2172"/>
        </w:tabs>
        <w:spacing w:after="0" w:before="158" w:line="360" w:lineRule="auto"/>
        <w:ind w:left="2172"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customer's country(ies) of origin is(are) categorised as "Blacklist", or</w:t>
      </w:r>
    </w:p>
    <w:p w:rsidR="00000000" w:rsidDel="00000000" w:rsidP="00000000" w:rsidRDefault="00000000" w:rsidRPr="00000000" w14:paraId="00000065">
      <w:pPr>
        <w:widowControl w:val="0"/>
        <w:numPr>
          <w:ilvl w:val="1"/>
          <w:numId w:val="1"/>
        </w:numPr>
        <w:tabs>
          <w:tab w:val="left" w:leader="none" w:pos="2170"/>
          <w:tab w:val="left" w:leader="none" w:pos="2172"/>
        </w:tabs>
        <w:spacing w:after="0" w:before="120" w:line="360" w:lineRule="auto"/>
        <w:ind w:left="2172"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customer's activity is categorised as "Blacklist".</w:t>
      </w:r>
    </w:p>
    <w:p w:rsidR="00000000" w:rsidDel="00000000" w:rsidP="00000000" w:rsidRDefault="00000000" w:rsidRPr="00000000" w14:paraId="00000066">
      <w:pPr>
        <w:keepNext w:val="0"/>
        <w:keepLines w:val="0"/>
        <w:pageBreakBefore w:val="0"/>
        <w:widowControl w:val="0"/>
        <w:numPr>
          <w:ilvl w:val="0"/>
          <w:numId w:val="2"/>
        </w:numPr>
        <w:pBdr>
          <w:top w:color="auto" w:space="0" w:sz="0" w:val="none"/>
          <w:left w:space="0" w:sz="0" w:val="nil"/>
          <w:bottom w:color="auto" w:space="0" w:sz="0" w:val="none"/>
          <w:right w:space="0" w:sz="0" w:val="nil"/>
          <w:between w:space="0" w:sz="0" w:val="nil"/>
        </w:pBdr>
        <w:shd w:fill="auto" w:val="clear"/>
        <w:tabs>
          <w:tab w:val="left" w:leader="none" w:pos="1435"/>
        </w:tabs>
        <w:spacing w:after="0" w:before="285"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CDD during the business relationship</w:t>
      </w:r>
    </w:p>
    <w:p w:rsidR="00000000" w:rsidDel="00000000" w:rsidP="00000000" w:rsidRDefault="00000000" w:rsidRPr="00000000" w14:paraId="00000067">
      <w:pPr>
        <w:widowControl w:val="0"/>
        <w:numPr>
          <w:ilvl w:val="1"/>
          <w:numId w:val="2"/>
        </w:numPr>
        <w:pBdr>
          <w:top w:color="auto" w:space="0" w:sz="0" w:val="none"/>
          <w:bottom w:color="auto" w:space="0" w:sz="0" w:val="none"/>
        </w:pBdr>
        <w:tabs>
          <w:tab w:val="left" w:leader="none" w:pos="1435"/>
        </w:tabs>
        <w:spacing w:after="0" w:before="285"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CDD. The purpose of the regular CDD is ongoing monitoring and verification that the information provided is up-to-date and consistent with what the Company knows about the customer and virtual asset services provided..</w:t>
      </w:r>
    </w:p>
    <w:p w:rsidR="00000000" w:rsidDel="00000000" w:rsidP="00000000" w:rsidRDefault="00000000" w:rsidRPr="00000000" w14:paraId="00000068">
      <w:pPr>
        <w:widowControl w:val="0"/>
        <w:numPr>
          <w:ilvl w:val="1"/>
          <w:numId w:val="2"/>
        </w:numPr>
        <w:pBdr>
          <w:top w:color="auto" w:space="0" w:sz="0" w:val="none"/>
          <w:bottom w:color="auto" w:space="0" w:sz="0" w:val="none"/>
        </w:pBdr>
        <w:tabs>
          <w:tab w:val="left" w:leader="none" w:pos="1435"/>
        </w:tabs>
        <w:spacing w:after="0" w:before="285"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Operational CDD. The purpose of the regular CDD is ongoing monitoring and verification that the information provided is up-to-date and consistent with what the Company knows about the customer and the service provided. Operational CDD is used in the following circumstances, each involving different procedures, depending on the relevance of the customer data already available. </w:t>
      </w:r>
    </w:p>
    <w:p w:rsidR="00000000" w:rsidDel="00000000" w:rsidP="00000000" w:rsidRDefault="00000000" w:rsidRPr="00000000" w14:paraId="00000069">
      <w:pPr>
        <w:keepNext w:val="0"/>
        <w:keepLines w:val="0"/>
        <w:pageBreakBefore w:val="0"/>
        <w:widowControl w:val="0"/>
        <w:numPr>
          <w:ilvl w:val="0"/>
          <w:numId w:val="2"/>
        </w:numPr>
        <w:pBdr>
          <w:top w:color="auto" w:space="0" w:sz="0" w:val="none"/>
          <w:left w:space="0" w:sz="0" w:val="nil"/>
          <w:bottom w:color="auto" w:space="0" w:sz="0" w:val="none"/>
          <w:right w:space="0" w:sz="0" w:val="nil"/>
          <w:between w:space="0" w:sz="0" w:val="nil"/>
        </w:pBdr>
        <w:shd w:fill="auto" w:val="clear"/>
        <w:tabs>
          <w:tab w:val="left" w:leader="none" w:pos="1435"/>
        </w:tabs>
        <w:spacing w:after="0" w:afterAutospacing="0" w:before="284"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Ongoing monitoring of transactions</w:t>
      </w:r>
    </w:p>
    <w:p w:rsidR="00000000" w:rsidDel="00000000" w:rsidP="00000000" w:rsidRDefault="00000000" w:rsidRPr="00000000" w14:paraId="0000006A">
      <w:pPr>
        <w:widowControl w:val="0"/>
        <w:numPr>
          <w:ilvl w:val="1"/>
          <w:numId w:val="2"/>
        </w:numPr>
        <w:pBdr>
          <w:bottom w:color="auto" w:space="0" w:sz="0" w:val="none"/>
        </w:pBd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Company recognizes the importance of Ongoing Monitoring to ensure that customers do not pose a risk of money laundering or terrorist financing. Therefore, it  conducts Ongoing Monitoring of customers to ensure that their activities do not change and become a higher risk. This includes Transaction Monitoring for Suspicious Activity, reviewing a customer’s information for any changes, and conducting additional Due Diligence when necessary.</w:t>
      </w:r>
    </w:p>
    <w:p w:rsidR="00000000" w:rsidDel="00000000" w:rsidP="00000000" w:rsidRDefault="00000000" w:rsidRPr="00000000" w14:paraId="0000006B">
      <w:pPr>
        <w:widowControl w:val="0"/>
        <w:numPr>
          <w:ilvl w:val="1"/>
          <w:numId w:val="2"/>
        </w:numPr>
        <w:pBdr>
          <w:bottom w:color="auto" w:space="0" w:sz="0" w:val="none"/>
        </w:pBd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Overall, Company's Due diligence process and ongoing monitoring are essential tools for identifying and managing the risks associated with its external relationships and for ensuring that it is complying with applicable laws and regulations related to AML and CFT.</w:t>
      </w:r>
    </w:p>
    <w:p w:rsidR="00000000" w:rsidDel="00000000" w:rsidP="00000000" w:rsidRDefault="00000000" w:rsidRPr="00000000" w14:paraId="0000006C">
      <w:pPr>
        <w:widowControl w:val="0"/>
        <w:numPr>
          <w:ilvl w:val="1"/>
          <w:numId w:val="2"/>
        </w:numPr>
        <w:pBdr>
          <w:bottom w:color="auto" w:space="0" w:sz="0" w:val="none"/>
        </w:pBd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Ongoing Monitoring of the customer's business relationships, including: </w:t>
      </w:r>
    </w:p>
    <w:p w:rsidR="00000000" w:rsidDel="00000000" w:rsidP="00000000" w:rsidRDefault="00000000" w:rsidRPr="00000000" w14:paraId="0000006D">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analysis of transactions carried out within the framework of the business relationship to ensure that these transactions are consistent with our knowledge of the customer, the type and scope of its business, and consistent with the money laundering and terrorist financing risks associated with that customer;</w:t>
      </w:r>
    </w:p>
    <w:p w:rsidR="00000000" w:rsidDel="00000000" w:rsidP="00000000" w:rsidRDefault="00000000" w:rsidRPr="00000000" w14:paraId="0000006E">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investigation of Source of Funds, Source of Wealth, assets, funds at the disposal of the customer - in cases justified by the circumstances; </w:t>
      </w:r>
    </w:p>
    <w:p w:rsidR="00000000" w:rsidDel="00000000" w:rsidP="00000000" w:rsidRDefault="00000000" w:rsidRPr="00000000" w14:paraId="0000006F">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ensuring that the documents, data or information in its possession regarding business relations are kept up to date.</w:t>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Sanctions screening</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Company has a responsibility to ensure that it is not doing business with individuals and legal entities that are prohibited by sanctions laws. To achieve this, </w:t>
      </w:r>
      <w:r w:rsidDel="00000000" w:rsidR="00000000" w:rsidRPr="00000000">
        <w:rPr>
          <w:rFonts w:ascii="Times New Roman" w:cs="Times New Roman" w:eastAsia="Times New Roman" w:hAnsi="Times New Roman"/>
          <w:sz w:val="24"/>
          <w:szCs w:val="24"/>
          <w:highlight w:val="white"/>
          <w:rtl w:val="0"/>
        </w:rPr>
        <w:t xml:space="preserve">Company</w:t>
      </w:r>
      <w:r w:rsidDel="00000000" w:rsidR="00000000" w:rsidRPr="00000000">
        <w:rPr>
          <w:rFonts w:ascii="Times New Roman" w:cs="Times New Roman" w:eastAsia="Times New Roman" w:hAnsi="Times New Roman"/>
          <w:sz w:val="24"/>
          <w:szCs w:val="24"/>
          <w:highlight w:val="white"/>
          <w:rtl w:val="0"/>
        </w:rPr>
        <w:t xml:space="preserve"> implements procedures to screen all customers against Sanctions Lists. This will include checking the names of individuals and legal entities against lists of individuals and legal entities that have been designated by government agencies, international organizations as being subject to sanctions, embargoes, or other restrictions on trade or financial transactions.</w:t>
      </w:r>
    </w:p>
    <w:p w:rsidR="00000000" w:rsidDel="00000000" w:rsidP="00000000" w:rsidRDefault="00000000" w:rsidRPr="00000000" w14:paraId="00000072">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Company also screens</w:t>
      </w:r>
      <w:r w:rsidDel="00000000" w:rsidR="00000000" w:rsidRPr="00000000">
        <w:rPr>
          <w:rFonts w:ascii="Times New Roman" w:cs="Times New Roman" w:eastAsia="Times New Roman" w:hAnsi="Times New Roman"/>
          <w:sz w:val="24"/>
          <w:szCs w:val="24"/>
          <w:highlight w:val="white"/>
          <w:rtl w:val="0"/>
        </w:rPr>
        <w:t xml:space="preserve"> transactions to ensure that they do not involve prohibited individuals or legal entities. This will involve reviewing transaction details, such as the names of parties involved, the amounts, and the location of the transaction, to ensure that they are not connected to any individual or legal entity that is subject to sanctions.</w:t>
      </w:r>
    </w:p>
    <w:p w:rsidR="00000000" w:rsidDel="00000000" w:rsidP="00000000" w:rsidRDefault="00000000" w:rsidRPr="00000000" w14:paraId="00000073">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Additionally, </w:t>
      </w:r>
      <w:r w:rsidDel="00000000" w:rsidR="00000000" w:rsidRPr="00000000">
        <w:rPr>
          <w:rFonts w:ascii="Times New Roman" w:cs="Times New Roman" w:eastAsia="Times New Roman" w:hAnsi="Times New Roman"/>
          <w:sz w:val="24"/>
          <w:szCs w:val="24"/>
          <w:highlight w:val="white"/>
          <w:rtl w:val="0"/>
        </w:rPr>
        <w:t xml:space="preserve">Company</w:t>
      </w:r>
      <w:r w:rsidDel="00000000" w:rsidR="00000000" w:rsidRPr="00000000">
        <w:rPr>
          <w:rFonts w:ascii="Times New Roman" w:cs="Times New Roman" w:eastAsia="Times New Roman" w:hAnsi="Times New Roman"/>
          <w:sz w:val="24"/>
          <w:szCs w:val="24"/>
          <w:highlight w:val="white"/>
          <w:rtl w:val="0"/>
        </w:rPr>
        <w:t xml:space="preserve"> has procedures in place to investigate and report any potential sanctions violations to the appropriate authorities.</w:t>
      </w:r>
    </w:p>
    <w:p w:rsidR="00000000" w:rsidDel="00000000" w:rsidP="00000000" w:rsidRDefault="00000000" w:rsidRPr="00000000" w14:paraId="00000074">
      <w:pPr>
        <w:keepNext w:val="0"/>
        <w:keepLines w:val="0"/>
        <w:pageBreakBefore w:val="0"/>
        <w:widowControl w:val="0"/>
        <w:numPr>
          <w:ilvl w:val="0"/>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Risk Assessment</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Company conducts a comprehensive risk assessment of the relationships with customers to identify and evaluate any potential risks. This risk assessment considers a range of factors, including the nature of the relationship, the services provided, the location of the customer, and the customer's industry or sector.</w:t>
      </w:r>
    </w:p>
    <w:p w:rsidR="00000000" w:rsidDel="00000000" w:rsidP="00000000" w:rsidRDefault="00000000" w:rsidRPr="00000000" w14:paraId="00000076">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Based on the results of the risk assessment, </w:t>
      </w:r>
      <w:r w:rsidDel="00000000" w:rsidR="00000000" w:rsidRPr="00000000">
        <w:rPr>
          <w:rFonts w:ascii="Times New Roman" w:cs="Times New Roman" w:eastAsia="Times New Roman" w:hAnsi="Times New Roman"/>
          <w:sz w:val="24"/>
          <w:szCs w:val="24"/>
          <w:highlight w:val="white"/>
          <w:rtl w:val="0"/>
        </w:rPr>
        <w:t xml:space="preserve">Company</w:t>
      </w:r>
      <w:r w:rsidDel="00000000" w:rsidR="00000000" w:rsidRPr="00000000">
        <w:rPr>
          <w:rFonts w:ascii="Times New Roman" w:cs="Times New Roman" w:eastAsia="Times New Roman" w:hAnsi="Times New Roman"/>
          <w:sz w:val="24"/>
          <w:szCs w:val="24"/>
          <w:highlight w:val="white"/>
          <w:rtl w:val="0"/>
        </w:rPr>
        <w:t xml:space="preserve"> takes appropriate measures to mitigate any risks identified.</w:t>
      </w:r>
    </w:p>
    <w:p w:rsidR="00000000" w:rsidDel="00000000" w:rsidP="00000000" w:rsidRDefault="00000000" w:rsidRPr="00000000" w14:paraId="00000077">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Additionally, the Company implements a risk-based approach for its AML/CFT compliance program.</w:t>
      </w:r>
    </w:p>
    <w:p w:rsidR="00000000" w:rsidDel="00000000" w:rsidP="00000000" w:rsidRDefault="00000000" w:rsidRPr="00000000" w14:paraId="00000078">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Company</w:t>
      </w:r>
      <w:r w:rsidDel="00000000" w:rsidR="00000000" w:rsidRPr="00000000">
        <w:rPr>
          <w:rFonts w:ascii="Times New Roman" w:cs="Times New Roman" w:eastAsia="Times New Roman" w:hAnsi="Times New Roman"/>
          <w:sz w:val="24"/>
          <w:szCs w:val="24"/>
          <w:highlight w:val="white"/>
          <w:rtl w:val="0"/>
        </w:rPr>
        <w:t xml:space="preserve"> may provide services to customers who/which have a connection with foreign jurisdictions. In assessing the risk associated with a jurisdiction to which a customer is connected, Company takes account of the following classifications:</w:t>
      </w:r>
    </w:p>
    <w:p w:rsidR="00000000" w:rsidDel="00000000" w:rsidP="00000000" w:rsidRDefault="00000000" w:rsidRPr="00000000" w14:paraId="00000079">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Financial Action Task Force (FATF) member countries;</w:t>
      </w:r>
    </w:p>
    <w:p w:rsidR="00000000" w:rsidDel="00000000" w:rsidP="00000000" w:rsidRDefault="00000000" w:rsidRPr="00000000" w14:paraId="0000007A">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non-FATF countries whose regimes are not subject to sanctions imposed by the UNSC and are not otherwise deemed as high-risk jurisdictions or prescribed foreign countries below;</w:t>
      </w:r>
    </w:p>
    <w:p w:rsidR="00000000" w:rsidDel="00000000" w:rsidP="00000000" w:rsidRDefault="00000000" w:rsidRPr="00000000" w14:paraId="0000007B">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countries with AML/CTF deficiencies, serious organized crime, political instability, corruption and weak rule of law;</w:t>
      </w:r>
    </w:p>
    <w:p w:rsidR="00000000" w:rsidDel="00000000" w:rsidP="00000000" w:rsidRDefault="00000000" w:rsidRPr="00000000" w14:paraId="0000007C">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countries subject to UNSC sanctions.</w:t>
      </w:r>
    </w:p>
    <w:p w:rsidR="00000000" w:rsidDel="00000000" w:rsidP="00000000" w:rsidRDefault="00000000" w:rsidRPr="00000000" w14:paraId="0000007D">
      <w:pPr>
        <w:keepNext w:val="0"/>
        <w:keepLines w:val="0"/>
        <w:pageBreakBefore w:val="0"/>
        <w:widowControl w:val="0"/>
        <w:numPr>
          <w:ilvl w:val="0"/>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Reporting Suspicious Activity</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Company recognizes the importance of having a process in place to report any suspicious activities or transactions that indicate money laundering or terrorist financing.</w:t>
      </w:r>
    </w:p>
    <w:p w:rsidR="00000000" w:rsidDel="00000000" w:rsidP="00000000" w:rsidRDefault="00000000" w:rsidRPr="00000000" w14:paraId="0000007F">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Reports of suspicious activities will be reviewed and investigated </w:t>
      </w:r>
      <w:r w:rsidDel="00000000" w:rsidR="00000000" w:rsidRPr="00000000">
        <w:rPr>
          <w:rFonts w:ascii="Times New Roman" w:cs="Times New Roman" w:eastAsia="Times New Roman" w:hAnsi="Times New Roman"/>
          <w:sz w:val="24"/>
          <w:szCs w:val="24"/>
          <w:highlight w:val="white"/>
          <w:rtl w:val="0"/>
        </w:rPr>
        <w:t xml:space="preserve">by Company's</w:t>
      </w:r>
      <w:r w:rsidDel="00000000" w:rsidR="00000000" w:rsidRPr="00000000">
        <w:rPr>
          <w:rFonts w:ascii="Times New Roman" w:cs="Times New Roman" w:eastAsia="Times New Roman" w:hAnsi="Times New Roman"/>
          <w:sz w:val="24"/>
          <w:szCs w:val="24"/>
          <w:highlight w:val="white"/>
          <w:rtl w:val="0"/>
        </w:rPr>
        <w:t xml:space="preserve"> AML/CFT Compliance Officer, which will be responsible for determining whether the reported activity is indicative of money laundering or terrorist financing. If it is determined that the reported activity is suspicious, AML/CFT Compliance Officer will take the necessary steps to report the Suspicious Activity to the appropriate authorities.</w:t>
      </w:r>
    </w:p>
    <w:p w:rsidR="00000000" w:rsidDel="00000000" w:rsidP="00000000" w:rsidRDefault="00000000" w:rsidRPr="00000000" w14:paraId="00000080">
      <w:pPr>
        <w:keepNext w:val="0"/>
        <w:keepLines w:val="0"/>
        <w:pageBreakBefore w:val="0"/>
        <w:widowControl w:val="0"/>
        <w:numPr>
          <w:ilvl w:val="0"/>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Third-Party Service Providers</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Company takes steps to ensure that Third-Party Service Providers comply with its AML/CFT regulatory requirements. This will involve conducting thorough Due Diligence on these providers, reviewing their reputation and past behavior, and evaluating their own AML and CFT policies and procedures. To ensure Sanctions compliance, </w:t>
      </w:r>
      <w:r w:rsidDel="00000000" w:rsidR="00000000" w:rsidRPr="00000000">
        <w:rPr>
          <w:rFonts w:ascii="Times New Roman" w:cs="Times New Roman" w:eastAsia="Times New Roman" w:hAnsi="Times New Roman"/>
          <w:sz w:val="24"/>
          <w:szCs w:val="24"/>
          <w:highlight w:val="white"/>
          <w:rtl w:val="0"/>
        </w:rPr>
        <w:t xml:space="preserve">Company</w:t>
      </w:r>
      <w:r w:rsidDel="00000000" w:rsidR="00000000" w:rsidRPr="00000000">
        <w:rPr>
          <w:rFonts w:ascii="Times New Roman" w:cs="Times New Roman" w:eastAsia="Times New Roman" w:hAnsi="Times New Roman"/>
          <w:sz w:val="24"/>
          <w:szCs w:val="24"/>
          <w:highlight w:val="white"/>
          <w:rtl w:val="0"/>
        </w:rPr>
        <w:t xml:space="preserve"> could include specific provisions related to AML and CFT in agreements with Third-Party Service Providers. Additionally, Company conducts regular monitoring of these providers to confirm they are adhering to the AML and CFT requirements set forth in the contract.</w:t>
      </w:r>
    </w:p>
    <w:p w:rsidR="00000000" w:rsidDel="00000000" w:rsidP="00000000" w:rsidRDefault="00000000" w:rsidRPr="00000000" w14:paraId="00000082">
      <w:pPr>
        <w:keepNext w:val="0"/>
        <w:keepLines w:val="0"/>
        <w:pageBreakBefore w:val="0"/>
        <w:widowControl w:val="0"/>
        <w:numPr>
          <w:ilvl w:val="0"/>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Suspicious </w:t>
      </w:r>
      <w:r w:rsidDel="00000000" w:rsidR="00000000" w:rsidRPr="00000000">
        <w:rPr>
          <w:rFonts w:ascii="Times New Roman" w:cs="Times New Roman" w:eastAsia="Times New Roman" w:hAnsi="Times New Roman"/>
          <w:sz w:val="24"/>
          <w:szCs w:val="24"/>
          <w:highlight w:val="white"/>
          <w:u w:val="single"/>
          <w:rtl w:val="0"/>
        </w:rPr>
        <w:t xml:space="preserve">Activity</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Signs of suspicious activity</w:t>
      </w:r>
    </w:p>
    <w:p w:rsidR="00000000" w:rsidDel="00000000" w:rsidP="00000000" w:rsidRDefault="00000000" w:rsidRPr="00000000" w14:paraId="00000084">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suspicious activity means a virtual asset service (whether within a business relationship or outside a business relationship) carried out in the circumstances giving rise to a suspicion of an attempt to launder the proceeds of crime or a suspicion that the funds used in the service are intended to finance terrorism, or that the service is otherwise related to or connected with the financing of terrorism, or any other fact that might indicate such a suspicion.</w:t>
      </w:r>
    </w:p>
    <w:p w:rsidR="00000000" w:rsidDel="00000000" w:rsidP="00000000" w:rsidRDefault="00000000" w:rsidRPr="00000000" w14:paraId="00000085">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suspicious activity may also be an act by a customer that is not directly related to the provision of the virtual asset service but gives rise to a reasonable suspicion that the customer's interest may be in the aforementioned fraudulent activity. Suspicious activity may also include the virtual asset service that the Company does not perform or a mere attempt by the customer to conduct a transaction or establish a business relationship.</w:t>
      </w:r>
    </w:p>
    <w:p w:rsidR="00000000" w:rsidDel="00000000" w:rsidP="00000000" w:rsidRDefault="00000000" w:rsidRPr="00000000" w14:paraId="00000086">
      <w:pPr>
        <w:keepNext w:val="0"/>
        <w:keepLines w:val="0"/>
        <w:pageBreakBefore w:val="0"/>
        <w:widowControl w:val="0"/>
        <w:numPr>
          <w:ilvl w:val="0"/>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Prohibition to provide virtual asset services</w:t>
      </w:r>
    </w:p>
    <w:p w:rsidR="00000000" w:rsidDel="00000000" w:rsidP="00000000" w:rsidRDefault="00000000" w:rsidRPr="00000000" w14:paraId="00000087">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refuse to provide the customer with virtual asses services within or outside the business relationship if:</w:t>
      </w:r>
    </w:p>
    <w:p w:rsidR="00000000" w:rsidDel="00000000" w:rsidP="00000000" w:rsidRDefault="00000000" w:rsidRPr="00000000" w14:paraId="00000088">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customer does not provide the necessary cooperation in the initial CDD and initial identification - i.e. does not provide the requested information or does not support it with the relevant documents (if required); or</w:t>
      </w:r>
    </w:p>
    <w:p w:rsidR="00000000" w:rsidDel="00000000" w:rsidP="00000000" w:rsidRDefault="00000000" w:rsidRPr="00000000" w14:paraId="00000089">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customer was identified remotely, and the first payment from the business relationship could not be made to an account in the customer's name (see paragraph Remote identification of the Know Your Customer (KYC) and Customer Due Diligence (CDD) Procedures document); or</w:t>
      </w:r>
    </w:p>
    <w:p w:rsidR="00000000" w:rsidDel="00000000" w:rsidP="00000000" w:rsidRDefault="00000000" w:rsidRPr="00000000" w14:paraId="0000008A">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doubts arise as to the accuracy or completeness of the information provided by the customer in the course of the initial identification or initial CDD; or</w:t>
      </w:r>
    </w:p>
    <w:p w:rsidR="00000000" w:rsidDel="00000000" w:rsidP="00000000" w:rsidRDefault="00000000" w:rsidRPr="00000000" w14:paraId="0000008B">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there are reasonable suspicions that the customer has provided false, distorted or incomplete information or that the customer has submitted false, altered or unreliable documents; or</w:t>
      </w:r>
    </w:p>
    <w:p w:rsidR="00000000" w:rsidDel="00000000" w:rsidP="00000000" w:rsidRDefault="00000000" w:rsidRPr="00000000" w14:paraId="0000008C">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for any other reason, it is not possible to carry out the initial identification or initial CDD; or</w:t>
      </w:r>
    </w:p>
    <w:p w:rsidR="00000000" w:rsidDel="00000000" w:rsidP="00000000" w:rsidRDefault="00000000" w:rsidRPr="00000000" w14:paraId="0000008D">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it is apparent to the customer that the purpose of the intended transaction or business relationship is to provide virtual asset services to a person other than the customer (i.e. acting only as an intermediary or identity provider), and the customer does not provide an adequate justification (e.g. power of attorney) to that effect; or</w:t>
      </w:r>
    </w:p>
    <w:p w:rsidR="00000000" w:rsidDel="00000000" w:rsidP="00000000" w:rsidRDefault="00000000" w:rsidRPr="00000000" w14:paraId="0000008E">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customer is subject to EDD, and the Governing Body has not approved the provision of virtual asset services;</w:t>
      </w:r>
    </w:p>
    <w:p w:rsidR="00000000" w:rsidDel="00000000" w:rsidP="00000000" w:rsidRDefault="00000000" w:rsidRPr="00000000" w14:paraId="0000008F">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customer is a PEP, and its source of funds is unknown;</w:t>
      </w:r>
    </w:p>
    <w:p w:rsidR="00000000" w:rsidDel="00000000" w:rsidP="00000000" w:rsidRDefault="00000000" w:rsidRPr="00000000" w14:paraId="00000090">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customer is assigned a risk profile of Reject according to the risk assessment.</w:t>
      </w:r>
    </w:p>
    <w:p w:rsidR="00000000" w:rsidDel="00000000" w:rsidP="00000000" w:rsidRDefault="00000000" w:rsidRPr="00000000" w14:paraId="00000091">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If any of the cases listed above occur, the Account Manager or AML Specialist immediately reports this to the Head of the AML who ensures that the requested virtual asset services aren't provided to this customer and that the business relationship with the customer is terminated (factually and legally), if applicable.</w:t>
      </w:r>
    </w:p>
    <w:p w:rsidR="00000000" w:rsidDel="00000000" w:rsidP="00000000" w:rsidRDefault="00000000" w:rsidRPr="00000000" w14:paraId="00000092">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may also determine for individual types of customers other circumstances in which the requested virtual asset services will not be provided.</w:t>
      </w:r>
    </w:p>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Specific restrictive measures</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Customers’ Transaction Monitoring and analysis of the received data is one of the tools for assessing the risk and detecting suspicious transactions. In case of suspicion of money laundering or terrorist financing, Company controls all transactions and reserves the right to: </w:t>
      </w:r>
    </w:p>
    <w:p w:rsidR="00000000" w:rsidDel="00000000" w:rsidP="00000000" w:rsidRDefault="00000000" w:rsidRPr="00000000" w14:paraId="00000095">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suspend or terminate the customer's access to account registered at Website;</w:t>
      </w:r>
    </w:p>
    <w:p w:rsidR="00000000" w:rsidDel="00000000" w:rsidP="00000000" w:rsidRDefault="00000000" w:rsidRPr="00000000" w14:paraId="00000096">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suspend providing services and freeze, block assets, funds until the circumstances are clarified; </w:t>
      </w:r>
    </w:p>
    <w:p w:rsidR="00000000" w:rsidDel="00000000" w:rsidP="00000000" w:rsidRDefault="00000000" w:rsidRPr="00000000" w14:paraId="00000097">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return the customer's assets, funds by canceling the order, instruction; </w:t>
      </w:r>
    </w:p>
    <w:p w:rsidR="00000000" w:rsidDel="00000000" w:rsidP="00000000" w:rsidRDefault="00000000" w:rsidRPr="00000000" w14:paraId="00000098">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take other actions allowed by Act, Company’s internal policies and procedures. </w:t>
      </w:r>
    </w:p>
    <w:p w:rsidR="00000000" w:rsidDel="00000000" w:rsidP="00000000" w:rsidRDefault="00000000" w:rsidRPr="00000000" w14:paraId="00000099">
      <w:pPr>
        <w:keepNext w:val="0"/>
        <w:keepLines w:val="0"/>
        <w:pageBreakBefore w:val="0"/>
        <w:widowControl w:val="0"/>
        <w:numPr>
          <w:ilvl w:val="0"/>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Geo-Blocking of UK IP Addresses</w:t>
      </w:r>
    </w:p>
    <w:p w:rsidR="00000000" w:rsidDel="00000000" w:rsidP="00000000" w:rsidRDefault="00000000" w:rsidRPr="00000000" w14:paraId="0000009A">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Company employs geo-blocking technology to restrict access to its platform, website, and mobile applications for users with IP addresses originating from the United Kingdom. This measure ensures that UK-based consumers cannot access or use the Exchange's services.</w:t>
      </w:r>
    </w:p>
    <w:p w:rsidR="00000000" w:rsidDel="00000000" w:rsidP="00000000" w:rsidRDefault="00000000" w:rsidRPr="00000000" w14:paraId="0000009B">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Exchange will integrate specific controls into its Know Your Customer (KYC) and Anti-Money Laundering (AML) processes to identify and restrict UK-based customers. This includes, but is not limited to:</w:t>
      </w:r>
    </w:p>
    <w:p w:rsidR="00000000" w:rsidDel="00000000" w:rsidP="00000000" w:rsidRDefault="00000000" w:rsidRPr="00000000" w14:paraId="0000009C">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Rejecting account registrations that provide a UK residential address or UK-based identification documents.</w:t>
      </w:r>
    </w:p>
    <w:p w:rsidR="00000000" w:rsidDel="00000000" w:rsidP="00000000" w:rsidRDefault="00000000" w:rsidRPr="00000000" w14:paraId="0000009D">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Blocking the use of UK-based payment methods, including bank accounts and credit/debit cards.</w:t>
      </w:r>
    </w:p>
    <w:p w:rsidR="00000000" w:rsidDel="00000000" w:rsidP="00000000" w:rsidRDefault="00000000" w:rsidRPr="00000000" w14:paraId="0000009E">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Conducting ongoing monitoring to detect and prevent UK-based customers from accessing or using the Exchange's services.</w:t>
      </w:r>
    </w:p>
    <w:p w:rsidR="00000000" w:rsidDel="00000000" w:rsidP="00000000" w:rsidRDefault="00000000" w:rsidRPr="00000000" w14:paraId="0000009F">
      <w:pPr>
        <w:keepNext w:val="0"/>
        <w:keepLines w:val="0"/>
        <w:pageBreakBefore w:val="0"/>
        <w:widowControl w:val="0"/>
        <w:numPr>
          <w:ilvl w:val="2"/>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216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Prohibition of Financial Promotions to UK Customers</w:t>
      </w:r>
    </w:p>
    <w:p w:rsidR="00000000" w:rsidDel="00000000" w:rsidP="00000000" w:rsidRDefault="00000000" w:rsidRPr="00000000" w14:paraId="000000A0">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Company ensures that no financial promotions, marketing materials, or communications are directed at UK-based individuals or entities. This includes refraining from advertising, soliciting, or engaging in any activity that could be construed as targeting UK consumers.</w:t>
      </w:r>
    </w:p>
    <w:p w:rsidR="00000000" w:rsidDel="00000000" w:rsidP="00000000" w:rsidRDefault="00000000" w:rsidRPr="00000000" w14:paraId="000000A1">
      <w:pPr>
        <w:keepNext w:val="0"/>
        <w:keepLines w:val="0"/>
        <w:pageBreakBefore w:val="0"/>
        <w:widowControl w:val="0"/>
        <w:numPr>
          <w:ilvl w:val="0"/>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72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Conclusion</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Company is committed to complying with all applicable laws and regulations related to AML and CFT in its external relationships. By implementing this AML/CFT Policy, </w:t>
      </w:r>
      <w:r w:rsidDel="00000000" w:rsidR="00000000" w:rsidRPr="00000000">
        <w:rPr>
          <w:rFonts w:ascii="Times New Roman" w:cs="Times New Roman" w:eastAsia="Times New Roman" w:hAnsi="Times New Roman"/>
          <w:sz w:val="24"/>
          <w:szCs w:val="24"/>
          <w:highlight w:val="white"/>
          <w:rtl w:val="0"/>
        </w:rPr>
        <w:t xml:space="preserve">Company</w:t>
      </w:r>
      <w:r w:rsidDel="00000000" w:rsidR="00000000" w:rsidRPr="00000000">
        <w:rPr>
          <w:rFonts w:ascii="Times New Roman" w:cs="Times New Roman" w:eastAsia="Times New Roman" w:hAnsi="Times New Roman"/>
          <w:sz w:val="24"/>
          <w:szCs w:val="24"/>
          <w:highlight w:val="white"/>
          <w:rtl w:val="0"/>
        </w:rPr>
        <w:t xml:space="preserve"> aims to prevent its services from being used for money laundering or terrorist financing activities. Company will review and update this AML/CFT Policy regularly to ensure that it remains effective in addressing the risks of money laundering and terrorist financing.</w:t>
      </w:r>
    </w:p>
    <w:p w:rsidR="00000000" w:rsidDel="00000000" w:rsidP="00000000" w:rsidRDefault="00000000" w:rsidRPr="00000000" w14:paraId="000000A3">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afterAutospacing="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Company is required to document the financial security measures in place. Records are kept for a period of 1- years from the date of termination of business relations with the customer or from the date of the occasional transaction, unless a longer term is prescribed by Act. Documents are stored in a manner that ensures their security and in accordance with data protection regulations.</w:t>
      </w:r>
    </w:p>
    <w:p w:rsidR="00000000" w:rsidDel="00000000" w:rsidP="00000000" w:rsidRDefault="00000000" w:rsidRPr="00000000" w14:paraId="000000A4">
      <w:pPr>
        <w:keepNext w:val="0"/>
        <w:keepLines w:val="0"/>
        <w:pageBreakBefore w:val="0"/>
        <w:widowControl w:val="0"/>
        <w:numPr>
          <w:ilvl w:val="1"/>
          <w:numId w:val="2"/>
        </w:numPr>
        <w:pBdr>
          <w:top w:space="0" w:sz="0" w:val="nil"/>
          <w:left w:space="0" w:sz="0" w:val="nil"/>
          <w:bottom w:color="auto" w:space="0" w:sz="0" w:val="none"/>
          <w:right w:space="0" w:sz="0" w:val="nil"/>
          <w:between w:space="0" w:sz="0" w:val="nil"/>
        </w:pBdr>
        <w:shd w:fill="auto" w:val="clear"/>
        <w:tabs>
          <w:tab w:val="left" w:leader="none" w:pos="1148"/>
        </w:tabs>
        <w:spacing w:after="0" w:before="0" w:beforeAutospacing="0" w:line="360" w:lineRule="auto"/>
        <w:ind w:left="1440" w:right="1147.20472440944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Communication with a customer may take the form of telephone or video conference discussions and email correspondence.</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color="auto" w:space="0" w:sz="0" w:val="none"/>
          <w:right w:space="0" w:sz="0" w:val="nil"/>
          <w:between w:space="0" w:sz="0" w:val="nil"/>
        </w:pBdr>
        <w:shd w:fill="auto" w:val="clear"/>
        <w:tabs>
          <w:tab w:val="left" w:leader="none" w:pos="1148"/>
        </w:tabs>
        <w:spacing w:after="0" w:before="271" w:line="360" w:lineRule="auto"/>
        <w:ind w:left="0" w:right="1147.2047244094488" w:firstLine="0"/>
        <w:jc w:val="left"/>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980" w:top="1360" w:left="708" w:right="425" w:header="0" w:footer="79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jc w:val="right"/>
      <w:rPr>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ind w:right="360"/>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-238124</wp:posOffset>
          </wp:positionH>
          <wp:positionV relativeFrom="paragraph">
            <wp:posOffset>114300</wp:posOffset>
          </wp:positionV>
          <wp:extent cx="2138363" cy="369418"/>
          <wp:effectExtent b="0" l="0" r="0" t="0"/>
          <wp:wrapNone/>
          <wp:docPr id="4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8363" cy="36941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352425</wp:posOffset>
              </wp:positionH>
              <wp:positionV relativeFrom="page">
                <wp:posOffset>457200</wp:posOffset>
              </wp:positionV>
              <wp:extent cx="228600" cy="9144000"/>
              <wp:effectExtent b="0" l="0" r="0" t="0"/>
              <wp:wrapNone/>
              <wp:docPr descr="Decorative sidebar" id="47" name=""/>
              <a:graphic>
                <a:graphicData uri="http://schemas.microsoft.com/office/word/2010/wordprocessingGroup">
                  <wpg:wgp>
                    <wpg:cNvGrpSpPr/>
                    <wpg:grpSpPr>
                      <a:xfrm>
                        <a:off x="5231700" y="0"/>
                        <a:ext cx="228600" cy="9144000"/>
                        <a:chOff x="5231700" y="0"/>
                        <a:chExt cx="228600" cy="7560000"/>
                      </a:xfrm>
                    </wpg:grpSpPr>
                    <wpg:grpSp>
                      <wpg:cNvGrpSpPr/>
                      <wpg:grpSpPr>
                        <a:xfrm>
                          <a:off x="5231700" y="0"/>
                          <a:ext cx="228600" cy="7560000"/>
                          <a:chOff x="5231700" y="0"/>
                          <a:chExt cx="228600" cy="7560000"/>
                        </a:xfrm>
                      </wpg:grpSpPr>
                      <wps:wsp>
                        <wps:cNvSpPr/>
                        <wps:cNvPr id="3" name="Shape 3"/>
                        <wps:spPr>
                          <a:xfrm>
                            <a:off x="5231700" y="0"/>
                            <a:ext cx="228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0"/>
                            <a:ext cx="228600" cy="7560000"/>
                            <a:chOff x="5231700" y="0"/>
                            <a:chExt cx="228600" cy="7560000"/>
                          </a:xfrm>
                        </wpg:grpSpPr>
                        <wps:wsp>
                          <wps:cNvSpPr/>
                          <wps:cNvPr id="5" name="Shape 5"/>
                          <wps:spPr>
                            <a:xfrm>
                              <a:off x="5231700" y="0"/>
                              <a:ext cx="228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0"/>
                              <a:ext cx="228600" cy="7560000"/>
                              <a:chOff x="5231700" y="0"/>
                              <a:chExt cx="228600" cy="7560000"/>
                            </a:xfrm>
                          </wpg:grpSpPr>
                          <wps:wsp>
                            <wps:cNvSpPr/>
                            <wps:cNvPr id="7" name="Shape 7"/>
                            <wps:spPr>
                              <a:xfrm>
                                <a:off x="5231700" y="0"/>
                                <a:ext cx="228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0"/>
                                <a:ext cx="228600" cy="7560000"/>
                                <a:chOff x="5231700" y="0"/>
                                <a:chExt cx="228600" cy="7560000"/>
                              </a:xfrm>
                            </wpg:grpSpPr>
                            <wps:wsp>
                              <wps:cNvSpPr/>
                              <wps:cNvPr id="9" name="Shape 9"/>
                              <wps:spPr>
                                <a:xfrm>
                                  <a:off x="5231700" y="0"/>
                                  <a:ext cx="228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0"/>
                                  <a:ext cx="228600" cy="7560000"/>
                                  <a:chOff x="5231700" y="0"/>
                                  <a:chExt cx="228600" cy="7560000"/>
                                </a:xfrm>
                              </wpg:grpSpPr>
                              <wps:wsp>
                                <wps:cNvSpPr/>
                                <wps:cNvPr id="11" name="Shape 11"/>
                                <wps:spPr>
                                  <a:xfrm>
                                    <a:off x="5231700" y="0"/>
                                    <a:ext cx="228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0"/>
                                    <a:ext cx="228600" cy="7560000"/>
                                    <a:chOff x="5231700" y="0"/>
                                    <a:chExt cx="228600" cy="7560000"/>
                                  </a:xfrm>
                                </wpg:grpSpPr>
                                <wps:wsp>
                                  <wps:cNvSpPr/>
                                  <wps:cNvPr id="13" name="Shape 13"/>
                                  <wps:spPr>
                                    <a:xfrm>
                                      <a:off x="5231700" y="0"/>
                                      <a:ext cx="228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0"/>
                                      <a:ext cx="228600" cy="7560000"/>
                                      <a:chOff x="5231700" y="0"/>
                                      <a:chExt cx="228600" cy="7560000"/>
                                    </a:xfrm>
                                  </wpg:grpSpPr>
                                  <wps:wsp>
                                    <wps:cNvSpPr/>
                                    <wps:cNvPr id="15" name="Shape 15"/>
                                    <wps:spPr>
                                      <a:xfrm>
                                        <a:off x="5231700" y="0"/>
                                        <a:ext cx="228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0"/>
                                        <a:ext cx="228600" cy="7560000"/>
                                        <a:chOff x="5231700" y="0"/>
                                        <a:chExt cx="228600" cy="7560000"/>
                                      </a:xfrm>
                                    </wpg:grpSpPr>
                                    <wps:wsp>
                                      <wps:cNvSpPr/>
                                      <wps:cNvPr id="17" name="Shape 17"/>
                                      <wps:spPr>
                                        <a:xfrm>
                                          <a:off x="5231700" y="0"/>
                                          <a:ext cx="228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0"/>
                                          <a:ext cx="228600" cy="7560000"/>
                                          <a:chOff x="5231700" y="0"/>
                                          <a:chExt cx="228600" cy="7560000"/>
                                        </a:xfrm>
                                      </wpg:grpSpPr>
                                      <wps:wsp>
                                        <wps:cNvSpPr/>
                                        <wps:cNvPr id="19" name="Shape 19"/>
                                        <wps:spPr>
                                          <a:xfrm>
                                            <a:off x="5231700" y="0"/>
                                            <a:ext cx="228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0"/>
                                            <a:ext cx="228600" cy="7560000"/>
                                            <a:chOff x="0" y="0"/>
                                            <a:chExt cx="228600" cy="9144000"/>
                                          </a:xfrm>
                                        </wpg:grpSpPr>
                                        <wps:wsp>
                                          <wps:cNvSpPr/>
                                          <wps:cNvPr id="21" name="Shape 21"/>
                                          <wps:spPr>
                                            <a:xfrm>
                                              <a:off x="0" y="0"/>
                                              <a:ext cx="228600" cy="914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228600" cy="8782050"/>
                                            </a:xfrm>
                                            <a:prstGeom prst="rect">
                                              <a:avLst/>
                                            </a:pr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8915400"/>
                                              <a:ext cx="228600" cy="22860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352425</wp:posOffset>
              </wp:positionH>
              <wp:positionV relativeFrom="page">
                <wp:posOffset>457200</wp:posOffset>
              </wp:positionV>
              <wp:extent cx="228600" cy="9144000"/>
              <wp:effectExtent b="0" l="0" r="0" t="0"/>
              <wp:wrapNone/>
              <wp:docPr descr="Decorative sidebar" id="47" name="image2.png"/>
              <a:graphic>
                <a:graphicData uri="http://schemas.openxmlformats.org/drawingml/2006/picture">
                  <pic:pic>
                    <pic:nvPicPr>
                      <pic:cNvPr descr="Decorative sidebar" id="0" name="image2.png"/>
                      <pic:cNvPicPr preferRelativeResize="0"/>
                    </pic:nvPicPr>
                    <pic:blipFill>
                      <a:blip r:embed="rId1"/>
                      <a:srcRect/>
                      <a:stretch>
                        <a:fillRect/>
                      </a:stretch>
                    </pic:blipFill>
                    <pic:spPr>
                      <a:xfrm>
                        <a:off x="0" y="0"/>
                        <a:ext cx="228600" cy="91440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52" w:hanging="360"/>
      </w:pPr>
      <w:rPr>
        <w:u w:val="none"/>
      </w:rPr>
    </w:lvl>
    <w:lvl w:ilvl="1">
      <w:start w:val="1"/>
      <w:numFmt w:val="lowerLetter"/>
      <w:lvlText w:val="%2)"/>
      <w:lvlJc w:val="left"/>
      <w:pPr>
        <w:ind w:left="2172" w:hanging="360"/>
      </w:pPr>
      <w:rPr>
        <w:u w:val="none"/>
      </w:rPr>
    </w:lvl>
    <w:lvl w:ilvl="2">
      <w:start w:val="1"/>
      <w:numFmt w:val="lowerRoman"/>
      <w:lvlText w:val="%3)"/>
      <w:lvlJc w:val="left"/>
      <w:pPr>
        <w:ind w:left="2892" w:hanging="483"/>
      </w:pPr>
      <w:rPr>
        <w:u w:val="none"/>
      </w:rPr>
    </w:lvl>
    <w:lvl w:ilvl="3">
      <w:start w:val="0"/>
      <w:numFmt w:val="bullet"/>
      <w:lvlText w:val="•"/>
      <w:lvlJc w:val="left"/>
      <w:pPr>
        <w:ind w:left="3885" w:hanging="483"/>
      </w:pPr>
      <w:rPr>
        <w:u w:val="none"/>
      </w:rPr>
    </w:lvl>
    <w:lvl w:ilvl="4">
      <w:start w:val="0"/>
      <w:numFmt w:val="bullet"/>
      <w:lvlText w:val="•"/>
      <w:lvlJc w:val="left"/>
      <w:pPr>
        <w:ind w:left="4871" w:hanging="483"/>
      </w:pPr>
      <w:rPr>
        <w:u w:val="none"/>
      </w:rPr>
    </w:lvl>
    <w:lvl w:ilvl="5">
      <w:start w:val="0"/>
      <w:numFmt w:val="bullet"/>
      <w:lvlText w:val="•"/>
      <w:lvlJc w:val="left"/>
      <w:pPr>
        <w:ind w:left="5857" w:hanging="482.9999999999991"/>
      </w:pPr>
      <w:rPr>
        <w:u w:val="none"/>
      </w:rPr>
    </w:lvl>
    <w:lvl w:ilvl="6">
      <w:start w:val="0"/>
      <w:numFmt w:val="bullet"/>
      <w:lvlText w:val="•"/>
      <w:lvlJc w:val="left"/>
      <w:pPr>
        <w:ind w:left="6843" w:hanging="483"/>
      </w:pPr>
      <w:rPr>
        <w:u w:val="none"/>
      </w:rPr>
    </w:lvl>
    <w:lvl w:ilvl="7">
      <w:start w:val="0"/>
      <w:numFmt w:val="bullet"/>
      <w:lvlText w:val="•"/>
      <w:lvlJc w:val="left"/>
      <w:pPr>
        <w:ind w:left="7829" w:hanging="483"/>
      </w:pPr>
      <w:rPr>
        <w:u w:val="none"/>
      </w:rPr>
    </w:lvl>
    <w:lvl w:ilvl="8">
      <w:start w:val="0"/>
      <w:numFmt w:val="bullet"/>
      <w:lvlText w:val="•"/>
      <w:lvlJc w:val="left"/>
      <w:pPr>
        <w:ind w:left="8815" w:hanging="483"/>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bottom w:color="b85b22" w:space="1" w:sz="12" w:val="single"/>
      </w:pBdr>
      <w:spacing w:before="400" w:lineRule="auto"/>
      <w:jc w:val="center"/>
    </w:pPr>
    <w:rPr>
      <w:smallCaps w:val="1"/>
      <w:color w:val="7b3d16"/>
      <w:sz w:val="28"/>
      <w:szCs w:val="28"/>
    </w:rPr>
  </w:style>
  <w:style w:type="paragraph" w:styleId="Heading2">
    <w:name w:val="heading 2"/>
    <w:basedOn w:val="Normal"/>
    <w:next w:val="Normal"/>
    <w:pPr>
      <w:pBdr>
        <w:bottom w:color="7a3c16" w:space="1" w:sz="4" w:val="single"/>
      </w:pBdr>
      <w:spacing w:before="400" w:lineRule="auto"/>
      <w:jc w:val="center"/>
    </w:pPr>
    <w:rPr>
      <w:smallCaps w:val="1"/>
      <w:color w:val="7b3d16"/>
      <w:sz w:val="24"/>
      <w:szCs w:val="24"/>
    </w:rPr>
  </w:style>
  <w:style w:type="paragraph" w:styleId="Heading3">
    <w:name w:val="heading 3"/>
    <w:basedOn w:val="Normal"/>
    <w:next w:val="Normal"/>
    <w:pPr>
      <w:pBdr>
        <w:top w:color="7a3c16" w:space="1" w:sz="4" w:val="dotted"/>
        <w:bottom w:color="7a3c16" w:space="1" w:sz="4" w:val="dotted"/>
      </w:pBdr>
      <w:spacing w:before="300" w:lineRule="auto"/>
      <w:jc w:val="center"/>
    </w:pPr>
    <w:rPr>
      <w:smallCaps w:val="1"/>
      <w:color w:val="7a3c16"/>
      <w:sz w:val="24"/>
      <w:szCs w:val="24"/>
    </w:rPr>
  </w:style>
  <w:style w:type="paragraph" w:styleId="Heading4">
    <w:name w:val="heading 4"/>
    <w:basedOn w:val="Normal"/>
    <w:next w:val="Normal"/>
    <w:pPr>
      <w:pBdr>
        <w:bottom w:color="b85b22" w:space="1" w:sz="4" w:val="dotted"/>
      </w:pBdr>
      <w:spacing w:after="120" w:lineRule="auto"/>
      <w:jc w:val="center"/>
    </w:pPr>
    <w:rPr>
      <w:smallCaps w:val="1"/>
      <w:color w:val="7a3c16"/>
    </w:rPr>
  </w:style>
  <w:style w:type="paragraph" w:styleId="Heading5">
    <w:name w:val="heading 5"/>
    <w:basedOn w:val="Normal"/>
    <w:next w:val="Normal"/>
    <w:pPr>
      <w:spacing w:after="120" w:before="320" w:lineRule="auto"/>
      <w:jc w:val="center"/>
    </w:pPr>
    <w:rPr>
      <w:smallCaps w:val="1"/>
      <w:color w:val="7a3c16"/>
    </w:rPr>
  </w:style>
  <w:style w:type="paragraph" w:styleId="Heading6">
    <w:name w:val="heading 6"/>
    <w:basedOn w:val="Normal"/>
    <w:next w:val="Normal"/>
    <w:pPr>
      <w:spacing w:after="120" w:lineRule="auto"/>
      <w:jc w:val="center"/>
    </w:pPr>
    <w:rPr>
      <w:smallCaps w:val="1"/>
      <w:color w:val="b85b22"/>
    </w:rPr>
  </w:style>
  <w:style w:type="paragraph" w:styleId="Title">
    <w:name w:val="Title"/>
    <w:basedOn w:val="Normal"/>
    <w:next w:val="Normal"/>
    <w:pPr>
      <w:pBdr>
        <w:top w:color="7b3d16" w:space="1" w:sz="4" w:val="dotted"/>
        <w:bottom w:color="7b3d16" w:space="6" w:sz="4" w:val="dotted"/>
      </w:pBdr>
      <w:spacing w:after="300" w:before="500" w:line="240" w:lineRule="auto"/>
      <w:jc w:val="center"/>
    </w:pPr>
    <w:rPr>
      <w:smallCaps w:val="1"/>
      <w:color w:val="7b3d16"/>
      <w:sz w:val="44"/>
      <w:szCs w:val="4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a5"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6"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7"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8"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9"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a"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b"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c"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d"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e"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0"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1"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2"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3"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4"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5"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6"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7"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8"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9"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a"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b"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c"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d"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e"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0"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f1"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f2"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f3"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f4"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f5"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6"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style>
  <w:style w:type="table" w:styleId="aff7"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8" w:customStyle="1">
    <w:basedOn w:val="TableNormal1"/>
    <w:pPr>
      <w:spacing w:after="0" w:line="240" w:lineRule="auto"/>
    </w:pPr>
    <w:rPr>
      <w:color w:val="548ab7"/>
    </w:rPr>
    <w:tblPr>
      <w:tblStyleRowBandSize w:val="1"/>
      <w:tblStyleColBandSize w:val="1"/>
      <w:tblCellMar>
        <w:top w:w="0.0" w:type="dxa"/>
        <w:left w:w="115.0" w:type="dxa"/>
        <w:bottom w:w="0.0" w:type="dxa"/>
        <w:right w:w="115.0" w:type="dxa"/>
      </w:tblCellMar>
    </w:tblPr>
    <w:tcPr>
      <w:shd w:color="auto" w:fill="edeee5" w:val="clear"/>
    </w:tc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9" w:customStyle="1">
    <w:basedOn w:val="TableNormal1"/>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rPr>
      <w:color w:val="548ab7"/>
    </w:rPr>
    <w:tblPr>
      <w:tblStyleRowBandSize w:val="1"/>
      <w:tblStyleColBandSize w:val="1"/>
      <w:tblCellMar>
        <w:top w:w="0.0" w:type="dxa"/>
        <w:left w:w="115.0" w:type="dxa"/>
        <w:bottom w:w="0.0" w:type="dxa"/>
        <w:right w:w="115.0" w:type="dxa"/>
      </w:tblCellMar>
    </w:tblPr>
    <w:tcPr>
      <w:shd w:fill="edeee5"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
    <w:basedOn w:val="TableNormal"/>
    <w:pPr>
      <w:spacing w:after="0" w:line="240" w:lineRule="auto"/>
    </w:pPr>
    <w:rPr>
      <w:color w:val="548ab7"/>
    </w:rPr>
    <w:tblPr>
      <w:tblStyleRowBandSize w:val="1"/>
      <w:tblStyleColBandSize w:val="1"/>
      <w:tblCellMar>
        <w:top w:w="0.0" w:type="dxa"/>
        <w:left w:w="115.0" w:type="dxa"/>
        <w:bottom w:w="0.0" w:type="dxa"/>
        <w:right w:w="115.0" w:type="dxa"/>
      </w:tblCellMar>
    </w:tblPr>
    <w:tcPr>
      <w:shd w:fill="edeee5" w:val="clear"/>
    </w:tc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rPr>
      <w:color w:val="548ab7"/>
    </w:rPr>
    <w:tblPr>
      <w:tblStyleRowBandSize w:val="1"/>
      <w:tblStyleColBandSize w:val="1"/>
      <w:tblCellMar>
        <w:top w:w="0.0" w:type="dxa"/>
        <w:left w:w="115.0" w:type="dxa"/>
        <w:bottom w:w="0.0" w:type="dxa"/>
        <w:right w:w="115.0" w:type="dxa"/>
      </w:tblCellMar>
    </w:tblPr>
    <w:tcPr>
      <w:shd w:fill="edeee5"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rPr>
      <w:color w:val="548ab7"/>
    </w:rPr>
    <w:tblPr>
      <w:tblStyleRowBandSize w:val="1"/>
      <w:tblStyleColBandSize w:val="1"/>
      <w:tblCellMar>
        <w:top w:w="0.0" w:type="dxa"/>
        <w:left w:w="115.0" w:type="dxa"/>
        <w:bottom w:w="0.0" w:type="dxa"/>
        <w:right w:w="115.0" w:type="dxa"/>
      </w:tblCellMar>
    </w:tblPr>
    <w:tcPr>
      <w:shd w:fill="edeee5" w:val="clear"/>
    </w:tc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560" w:before="0" w:line="240" w:lineRule="auto"/>
      <w:ind w:left="0" w:right="0" w:firstLine="0"/>
      <w:jc w:val="center"/>
    </w:pPr>
    <w:rPr>
      <w:rFonts w:ascii="Calibri" w:cs="Calibri" w:eastAsia="Calibri" w:hAnsi="Calibri"/>
      <w:b w:val="0"/>
      <w:i w:val="0"/>
      <w:smallCaps w:val="1"/>
      <w:strike w:val="0"/>
      <w:color w:val="000000"/>
      <w:sz w:val="18"/>
      <w:szCs w:val="1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martatlas.io/" TargetMode="Externa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B3s/M7Nmv24EH7vNu4DwVHCHw==">CgMxLjA4AHIhMUh1MVU2eTRzT1I1aDhEMVAyTHhZNUM5RWlRSjZ2cXlM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2024-08-12T14:40:00Z</dcterms:created>
  <dc:creator>1</dc:creator>
</cp:coreProperties>
</file>